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76"/>
        <w:jc w:val="both"/>
        <w:spacing w:line="17" w:lineRule="atLeast"/>
        <w:widowControl w:val="off"/>
        <w:rPr>
          <w:rFonts w:hint="eastAsia"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</w:t>
      </w:r>
      <w:r>
        <w:rPr>
          <w:rFonts w:hint="eastAsia" w:ascii="Tinos" w:hAnsi="Tinos" w:cs="Tinos"/>
          <w:sz w:val="22"/>
          <w:szCs w:val="22"/>
        </w:rPr>
      </w:r>
    </w:p>
    <w:p>
      <w:pPr>
        <w:pStyle w:val="1276"/>
        <w:jc w:val="both"/>
        <w:spacing w:line="17" w:lineRule="atLeast"/>
        <w:widowControl w:val="off"/>
        <w:rPr>
          <w:rFonts w:hint="eastAsia" w:ascii="Tinos" w:hAnsi="Tinos" w:cs="Tinos"/>
          <w:sz w:val="22"/>
          <w:szCs w:val="22"/>
        </w:rPr>
        <w:suppressLineNumbers/>
      </w:pPr>
      <w:r>
        <w:rPr>
          <w:rFonts w:hint="eastAsia" w:ascii="Tinos" w:hAnsi="Tinos" w:cs="Tinos"/>
          <w:sz w:val="22"/>
          <w:szCs w:val="22"/>
        </w:rPr>
      </w:r>
      <w:r>
        <w:rPr>
          <w:rFonts w:hint="eastAsia" w:ascii="Tinos" w:hAnsi="Tinos" w:cs="Tinos"/>
          <w:sz w:val="22"/>
          <w:szCs w:val="22"/>
        </w:rPr>
      </w:r>
    </w:p>
    <w:p>
      <w:pPr>
        <w:pStyle w:val="1276"/>
        <w:jc w:val="both"/>
        <w:spacing w:line="17" w:lineRule="atLeast"/>
        <w:widowControl w:val="off"/>
        <w:rPr>
          <w:rFonts w:hint="eastAsia"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 ПРОЕКТ ДОГОВОРА ПОСТАВКИ ПРОДУКЦИИ №_____</w:t>
      </w:r>
      <w:r>
        <w:rPr>
          <w:rFonts w:hint="eastAsia"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«___»___________ 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00/227 от 01.09.2022 г.</w:t>
      </w:r>
      <w:r>
        <w:rPr>
          <w:rFonts w:ascii="Tinos" w:hAnsi="Tinos" w:eastAsia="Tinos" w:cs="Tinos"/>
        </w:rPr>
        <w:t xml:space="preserve"> с одной стороны; и ________, именуемое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 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</w:t>
      </w:r>
      <w:r>
        <w:rPr>
          <w:rFonts w:ascii="Tinos" w:hAnsi="Tinos" w:eastAsia="Tinos" w:cs="Tinos"/>
        </w:rPr>
        <w:t xml:space="preserve">силовых трансформаторов напряжением 6-20 кВ,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_____, заключили настоящий Договор о нижеследующем: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51"/>
        </w:numPr>
        <w:ind w:left="0" w:right="2267" w:firstLine="0"/>
        <w:jc w:val="center"/>
        <w:spacing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Основные понятия и определения: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270"/>
        <w:numPr>
          <w:ilvl w:val="1"/>
          <w:numId w:val="51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/>
          <w:bCs/>
        </w:rPr>
        <w:t xml:space="preserve">Гарантийный срок</w:t>
      </w:r>
      <w:r>
        <w:rPr>
          <w:rFonts w:ascii="Tinos" w:hAnsi="Tinos" w:eastAsia="Tinos" w:cs="Tinos"/>
          <w:bCs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/>
          <w:bCs/>
        </w:rPr>
        <w:t xml:space="preserve">ГК РФ</w:t>
      </w:r>
      <w:r>
        <w:rPr>
          <w:rFonts w:ascii="Tinos" w:hAnsi="Tinos" w:eastAsia="Tinos" w:cs="Tinos"/>
          <w:bCs/>
        </w:rPr>
        <w:t xml:space="preserve"> - Гражданский кодекс Российской Федерации.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/>
          <w:bCs/>
        </w:rPr>
        <w:t xml:space="preserve">Договор - </w:t>
      </w:r>
      <w:r>
        <w:rPr>
          <w:rFonts w:ascii="Tinos" w:hAnsi="Tinos" w:eastAsia="Tinos" w:cs="Tinos"/>
        </w:rPr>
        <w:t xml:space="preserve">настоящ</w:t>
      </w:r>
      <w:r>
        <w:rPr>
          <w:rFonts w:ascii="Tinos" w:hAnsi="Tinos" w:eastAsia="Tinos" w:cs="Tinos"/>
          <w:bCs/>
        </w:rPr>
        <w:t xml:space="preserve">ий документ, включая все содержащиеся в нем приложения, а также дополнения и изменения к нему, подписанные Покупателем и Поставщиком.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/>
          <w:bCs/>
        </w:rPr>
        <w:t xml:space="preserve">Качество</w:t>
      </w:r>
      <w:r>
        <w:rPr>
          <w:rFonts w:ascii="Tinos" w:hAnsi="Tinos" w:eastAsia="Tinos" w:cs="Tinos"/>
          <w:bCs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Недостаток </w:t>
      </w:r>
      <w:r>
        <w:rPr>
          <w:rFonts w:ascii="Tinos" w:hAnsi="Tinos" w:eastAsia="Tinos" w:cs="Tinos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nos" w:hAnsi="Tinos" w:eastAsia="Tinos" w:cs="Tinos"/>
          <w:spacing w:val="-4"/>
        </w:rPr>
        <w:t xml:space="preserve">Договора, снижающее или исключающее пригодность Товара для использования </w:t>
      </w:r>
      <w:r>
        <w:rPr>
          <w:rFonts w:ascii="Tinos" w:hAnsi="Tinos" w:eastAsia="Tinos" w:cs="Tinos"/>
        </w:rPr>
        <w:t xml:space="preserve">в соответствии с его обычным назначением согласно условиям Договора и ухудшающее иные характеристики Товара.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/>
          <w:spacing w:val="-4"/>
        </w:rPr>
        <w:t xml:space="preserve">Объект поставки - </w:t>
      </w:r>
      <w:r>
        <w:rPr>
          <w:rFonts w:ascii="Tinos" w:hAnsi="Tinos" w:eastAsia="Tinos" w:cs="Tinos"/>
          <w:spacing w:val="-4"/>
        </w:rPr>
        <w:t xml:space="preserve"> наименование и адрес нахождения места</w:t>
      </w:r>
      <w:r>
        <w:rPr>
          <w:rFonts w:ascii="Tinos" w:hAnsi="Tinos" w:eastAsia="Tinos" w:cs="Tinos"/>
        </w:rPr>
        <w:t xml:space="preserve"> строительства / склада Покупателя, куда осуществляется поставка Товара (указаны в приложении 1)</w:t>
      </w:r>
      <w:r>
        <w:rPr>
          <w:rFonts w:ascii="Tinos" w:hAnsi="Tinos" w:eastAsia="Tinos" w:cs="Tinos"/>
          <w:i/>
        </w:rPr>
        <w:t xml:space="preserve">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/>
          <w:bCs/>
        </w:rPr>
        <w:t xml:space="preserve">Товар</w:t>
      </w:r>
      <w:r>
        <w:rPr>
          <w:rFonts w:ascii="Tinos" w:hAnsi="Tinos" w:eastAsia="Tinos" w:cs="Tinos"/>
          <w:bCs/>
        </w:rPr>
        <w:t xml:space="preserve"> - наименование, страна происхождения, характеристики оборудования, ма</w:t>
      </w:r>
      <w:r>
        <w:rPr>
          <w:rFonts w:ascii="Tinos" w:hAnsi="Tinos" w:eastAsia="Tinos" w:cs="Tinos"/>
          <w:bCs/>
          <w:spacing w:val="-2"/>
        </w:rPr>
        <w:t xml:space="preserve">териалов, иной поставляемой продукции в соответствии с приложением</w:t>
      </w:r>
      <w:r>
        <w:rPr>
          <w:rFonts w:ascii="Tinos" w:hAnsi="Tinos" w:eastAsia="Tinos" w:cs="Tinos"/>
          <w:bCs/>
        </w:rPr>
        <w:t xml:space="preserve"> № 1 к Договору.</w:t>
      </w:r>
      <w:r>
        <w:rPr>
          <w:rFonts w:ascii="Tinos" w:hAnsi="Tinos" w:cs="Tinos"/>
          <w:bCs/>
        </w:rPr>
      </w:r>
    </w:p>
    <w:p>
      <w:pPr>
        <w:pStyle w:val="1388"/>
        <w:jc w:val="both"/>
        <w:spacing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bCs/>
        </w:rPr>
        <w:t xml:space="preserve">Подтверждение страны происхождения Товара</w:t>
      </w:r>
      <w:r>
        <w:rPr>
          <w:rFonts w:ascii="Tinos" w:hAnsi="Tinos" w:eastAsia="Tinos" w:cs="Tinos"/>
          <w:bCs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  <w:r>
        <w:rPr>
          <w:rFonts w:ascii="Tinos" w:hAnsi="Tinos" w:cs="Tinos"/>
        </w:rPr>
      </w:r>
    </w:p>
    <w:p>
      <w:pPr>
        <w:pStyle w:val="1388"/>
        <w:jc w:val="both"/>
        <w:spacing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bCs/>
          <w:iCs/>
          <w:highlight w:val="white"/>
        </w:rPr>
        <w:t xml:space="preserve">Независимая гарантия</w:t>
      </w:r>
      <w:r>
        <w:rPr>
          <w:rFonts w:ascii="Tinos" w:hAnsi="Tinos" w:eastAsia="Tinos" w:cs="Tinos"/>
          <w:iCs/>
          <w:highlight w:val="white"/>
        </w:rPr>
        <w:t xml:space="preserve"> - независимая гарантия, выданная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</w:t>
      </w:r>
      <w:r>
        <w:rPr>
          <w:rFonts w:ascii="Tinos" w:hAnsi="Tinos" w:eastAsia="Tinos" w:cs="Tinos"/>
          <w:iCs/>
          <w:highlight w:val="white"/>
        </w:rPr>
        <w:t xml:space="preserve">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rFonts w:ascii="Tinos" w:hAnsi="Tinos" w:cs="Tinos"/>
        </w:rPr>
      </w:r>
    </w:p>
    <w:p>
      <w:pPr>
        <w:pStyle w:val="1388"/>
        <w:jc w:val="both"/>
        <w:spacing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/>
          <w:bCs/>
          <w:lang w:eastAsia="ru-RU"/>
        </w:rPr>
        <w:t xml:space="preserve">Проверка качества оборудования/Товара </w:t>
      </w:r>
      <w:r>
        <w:rPr>
          <w:rFonts w:ascii="Tinos" w:hAnsi="Tinos" w:eastAsia="Tinos" w:cs="Tinos"/>
          <w:bCs/>
          <w:lang w:eastAsia="ru-RU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</w:t>
      </w:r>
      <w:r>
        <w:rPr>
          <w:rFonts w:ascii="Tinos" w:hAnsi="Tinos" w:eastAsia="Tinos" w:cs="Tinos"/>
          <w:bCs/>
          <w:lang w:eastAsia="ru-RU"/>
        </w:rPr>
        <w:t xml:space="preserve"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rFonts w:ascii="Tinos" w:hAnsi="Tinos" w:eastAsia="Tinos" w:cs="Tinos"/>
          <w:bCs/>
          <w:spacing w:val="-4"/>
          <w:lang w:eastAsia="ru-RU"/>
        </w:rPr>
        <w:t xml:space="preserve">Проверка качества оборудования, материалов и систем проводится в соответствии</w:t>
      </w:r>
      <w:r>
        <w:rPr>
          <w:rFonts w:ascii="Tinos" w:hAnsi="Tinos" w:eastAsia="Tinos" w:cs="Tinos"/>
          <w:bCs/>
          <w:lang w:eastAsia="ru-RU"/>
        </w:rPr>
        <w:t xml:space="preserve"> с Методикой</w:t>
      </w:r>
      <w:r>
        <w:rPr>
          <w:rFonts w:ascii="Tinos" w:hAnsi="Tinos" w:eastAsia="Tinos" w:cs="Tinos"/>
          <w:lang w:eastAsia="ru-RU"/>
        </w:rPr>
        <w:t xml:space="preserve"> </w:t>
      </w:r>
      <w:r>
        <w:rPr>
          <w:rFonts w:ascii="Tinos" w:hAnsi="Tinos" w:eastAsia="Tinos" w:cs="Tinos"/>
          <w:bCs/>
          <w:lang w:eastAsia="ru-RU"/>
        </w:rPr>
        <w:t xml:space="preserve">ПАО «Россети» проведен</w:t>
      </w:r>
      <w:r>
        <w:rPr>
          <w:rFonts w:ascii="Tinos" w:hAnsi="Tinos" w:eastAsia="Tinos" w:cs="Tinos"/>
          <w:bCs/>
          <w:lang w:eastAsia="ru-RU"/>
        </w:rPr>
        <w:t xml:space="preserve">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rFonts w:ascii="Tinos" w:hAnsi="Tinos" w:eastAsia="Tinos" w:cs="Tinos"/>
          <w:lang w:eastAsia="ru-RU"/>
        </w:rPr>
        <w:t xml:space="preserve">Методикой проведения проверки ц</w:t>
      </w:r>
      <w:r>
        <w:rPr>
          <w:rFonts w:ascii="Tinos" w:hAnsi="Tinos" w:eastAsia="Tinos" w:cs="Tinos"/>
          <w:lang w:eastAsia="ru-RU"/>
        </w:rPr>
        <w:t xml:space="preserve">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nos" w:hAnsi="Tinos" w:eastAsia="Tinos" w:cs="Tinos"/>
          <w:bCs/>
          <w:lang w:eastAsia="ru-RU"/>
        </w:rPr>
        <w:t xml:space="preserve"> (адрес в сети Интернет: </w:t>
      </w:r>
      <w:hyperlink r:id="rId14" w:tooltip="https://www.rosseti.ru/suppliers/technical-policy/equipment-quality-control/)." w:history="1">
        <w:r>
          <w:rPr>
            <w:rStyle w:val="1271"/>
            <w:rFonts w:ascii="Tinos" w:hAnsi="Tinos" w:eastAsia="Tinos" w:cs="Tinos"/>
          </w:rPr>
          <w:t xml:space="preserve">https://www.rosseti.ru/suppliers/technical-policy/equipment-quality-control/</w:t>
        </w:r>
        <w:r>
          <w:rPr>
            <w:rStyle w:val="1271"/>
            <w:rFonts w:ascii="Tinos" w:hAnsi="Tinos" w:eastAsia="Tinos" w:cs="Tinos"/>
            <w:bCs/>
            <w:lang w:eastAsia="ru-RU"/>
          </w:rPr>
          <w:t xml:space="preserve">).</w:t>
        </w:r>
      </w:hyperlink>
      <w:r>
        <w:rPr>
          <w:rFonts w:ascii="Tinos" w:hAnsi="Tinos" w:eastAsia="Tinos" w:cs="Tinos"/>
          <w:bCs/>
          <w:lang w:eastAsia="ru-RU"/>
        </w:rPr>
        <w:t xml:space="preserve"> </w:t>
      </w:r>
      <w:r>
        <w:rPr>
          <w:rFonts w:ascii="Tinos" w:hAnsi="Tinos" w:cs="Tinos"/>
          <w:bCs/>
        </w:rPr>
      </w:r>
    </w:p>
    <w:p>
      <w:pPr>
        <w:pStyle w:val="1388"/>
        <w:jc w:val="both"/>
        <w:spacing w:line="17" w:lineRule="atLeast"/>
        <w:widowControl w:val="off"/>
        <w:rPr>
          <w:rFonts w:ascii="Tinos" w:hAnsi="Tinos" w:cs="Tinos"/>
          <w:bCs/>
          <w:spacing w:val="-4"/>
        </w:rPr>
      </w:pPr>
      <w:r>
        <w:rPr>
          <w:rFonts w:ascii="Tinos" w:hAnsi="Tinos" w:eastAsia="Tinos" w:cs="Tinos"/>
          <w:b/>
          <w:bCs/>
          <w:spacing w:val="-2"/>
        </w:rPr>
        <w:t xml:space="preserve">Заключение аттестационной комиссии на оборудование / Товар</w:t>
      </w:r>
      <w:r>
        <w:rPr>
          <w:rFonts w:ascii="Tinos" w:hAnsi="Tinos" w:eastAsia="Tinos" w:cs="Tinos"/>
          <w:bCs/>
          <w:spacing w:val="-2"/>
        </w:rPr>
        <w:t xml:space="preserve"> -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  <w:bCs/>
          <w:spacing w:val="-4"/>
        </w:rPr>
        <w:t xml:space="preserve">документ, подтверждающий либо не подтверждающий возможность применения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  <w:bCs/>
          <w:spacing w:val="-4"/>
        </w:rPr>
        <w:t xml:space="preserve">аттестуемого оборудования на объектах и определяющий область его применения.</w:t>
      </w:r>
      <w:r>
        <w:rPr>
          <w:rFonts w:ascii="Tinos" w:hAnsi="Tinos" w:cs="Tinos"/>
          <w:bCs/>
          <w:spacing w:val="-4"/>
        </w:rPr>
      </w:r>
    </w:p>
    <w:p>
      <w:pPr>
        <w:pStyle w:val="1388"/>
        <w:jc w:val="both"/>
        <w:spacing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/>
          <w:bCs/>
        </w:rPr>
        <w:t xml:space="preserve">Перечень допущенного оборудования / Товара</w:t>
      </w:r>
      <w:r>
        <w:rPr>
          <w:rFonts w:ascii="Tinos" w:hAnsi="Tinos" w:eastAsia="Tinos" w:cs="Tinos"/>
          <w:bCs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nos" w:hAnsi="Tinos" w:eastAsia="Tinos" w:cs="Tinos"/>
          <w:bCs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15" w:tooltip="https://www.rosseti.ru/suppliers/technical-policy/equipment-quality-control/)." w:history="1">
        <w:r>
          <w:rPr>
            <w:rStyle w:val="1271"/>
            <w:rFonts w:ascii="Tinos" w:hAnsi="Tinos" w:eastAsia="Tinos" w:cs="Tinos"/>
          </w:rPr>
          <w:t xml:space="preserve">https://www.rosseti.ru/suppliers/technical-policy/equipment-quality-control/</w:t>
        </w:r>
        <w:r>
          <w:rPr>
            <w:rStyle w:val="1271"/>
            <w:rFonts w:ascii="Tinos" w:hAnsi="Tinos" w:eastAsia="Tinos" w:cs="Tinos"/>
            <w:bCs/>
          </w:rPr>
          <w:t xml:space="preserve">).</w:t>
        </w:r>
      </w:hyperlink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cs="Tinos"/>
          <w:bCs/>
        </w:rPr>
      </w:r>
    </w:p>
    <w:p>
      <w:pPr>
        <w:pStyle w:val="1270"/>
        <w:numPr>
          <w:ilvl w:val="0"/>
          <w:numId w:val="51"/>
        </w:numPr>
        <w:ind w:left="0" w:right="992" w:firstLine="0"/>
        <w:jc w:val="center"/>
        <w:spacing w:line="17" w:lineRule="atLeast"/>
        <w:tabs>
          <w:tab w:val="left" w:pos="28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i/>
        </w:rPr>
      </w:pPr>
      <w:r>
        <w:rPr>
          <w:rFonts w:ascii="Tinos" w:hAnsi="Tinos" w:eastAsia="Tinos" w:cs="Tinos"/>
        </w:rPr>
        <w:t xml:space="preserve">2.1. Поставщи</w:t>
      </w:r>
      <w:r>
        <w:rPr>
          <w:rFonts w:ascii="Tinos" w:hAnsi="Tinos" w:eastAsia="Tinos" w:cs="Tinos"/>
        </w:rPr>
        <w:t xml:space="preserve">к в соответствии с условиями Договора обязуется в обусловленный Договором срок передать в собственность Покупателя следующий Товар: силовые трансформаторы напряжением 6-20 кВ, не бывший в употреблении, указанный в приложении № 1 к Договору (далее - Товар),</w:t>
      </w:r>
      <w:r>
        <w:rPr>
          <w:rFonts w:ascii="Tinos" w:hAnsi="Tinos" w:eastAsia="Tinos" w:cs="Tinos"/>
          <w:i/>
        </w:rPr>
        <w:t xml:space="preserve"> </w:t>
      </w:r>
      <w:r>
        <w:rPr>
          <w:rFonts w:ascii="Tinos" w:hAnsi="Tinos" w:eastAsia="Tinos" w:cs="Tinos"/>
        </w:rPr>
        <w:t xml:space="preserve">а Покупатель обязуется принять и оплатить Товар.</w:t>
      </w:r>
      <w:r>
        <w:rPr>
          <w:rFonts w:ascii="Tinos" w:hAnsi="Tinos" w:cs="Tinos"/>
          <w:i/>
        </w:rPr>
      </w:r>
    </w:p>
    <w:p>
      <w:pPr>
        <w:pStyle w:val="1270"/>
        <w:numPr>
          <w:ilvl w:val="1"/>
          <w:numId w:val="49"/>
        </w:numPr>
        <w:ind w:left="0" w:firstLine="0"/>
        <w:jc w:val="both"/>
        <w:spacing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определяются согласно Спецификации (Приложение № 1), Техническим характеристикам, требованиям (Приложение № 2) и в Заявках Покупателя (Приложение №3) к настоящему Договору, а также Документацией на Товар. 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51"/>
        </w:numPr>
        <w:ind w:left="0" w:right="1417" w:firstLine="0"/>
        <w:jc w:val="center"/>
        <w:spacing w:after="0" w:line="17" w:lineRule="atLeast"/>
        <w:widowControl w:val="off"/>
        <w:tabs>
          <w:tab w:val="left" w:pos="284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Цена</w:t>
      </w:r>
      <w:r>
        <w:rPr>
          <w:rFonts w:ascii="Tinos" w:hAnsi="Tinos" w:cs="Tinos"/>
          <w:b/>
          <w:bCs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Цена Договора без НДС составляет: ___ (_) рублей _ копеек. Кроме того, НДС 20</w:t>
      </w:r>
      <w:r>
        <w:rPr>
          <w:rFonts w:ascii="Tinos" w:hAnsi="Tinos" w:eastAsia="Tinos" w:cs="Tinos"/>
          <w:sz w:val="22"/>
          <w:szCs w:val="22"/>
        </w:rPr>
        <w:t xml:space="preserve">% составляет: __ (_) рублей _ копеек. Всего с НДС цена Договора составляет: __ (_) рублей _ копеек. Цена Договора указана в Спецификации (приложение № 1) к Договору. Цена является твердой, окончательной и не подлежит изменению в течение срока его действия.</w:t>
      </w:r>
      <w:r>
        <w:rPr>
          <w:rFonts w:ascii="Tinos" w:hAnsi="Tinos" w:cs="Tinos"/>
          <w:sz w:val="22"/>
          <w:szCs w:val="22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lang w:eastAsia="ru-RU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426" w:leader="none"/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Цена Договора включает все затраты, связанные со стоимостью тары, упаковки и страховых взносов, погрузкой, доставкой до объекта поставки, налогами, сборами, платежами, </w:t>
      </w:r>
      <w:bookmarkStart w:id="0" w:name="_GoBack"/>
      <w:r/>
      <w:bookmarkEnd w:id="0"/>
      <w:r>
        <w:rPr>
          <w:rFonts w:ascii="Tinos" w:hAnsi="Tinos" w:eastAsia="Tinos" w:cs="Tinos"/>
          <w:sz w:val="22"/>
          <w:szCs w:val="22"/>
        </w:rPr>
        <w:t xml:space="preserve">а также таможенными пошлинами, расходами на таможенное оформление и декларир</w:t>
      </w:r>
      <w:r>
        <w:rPr>
          <w:rFonts w:ascii="Tinos" w:hAnsi="Tinos" w:eastAsia="Tinos" w:cs="Tinos"/>
          <w:sz w:val="22"/>
          <w:szCs w:val="22"/>
        </w:rPr>
        <w:t xml:space="preserve">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 не противоречащие предмету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0"/>
        </w:numPr>
        <w:ind w:left="0" w:firstLine="0"/>
        <w:jc w:val="center"/>
        <w:spacing w:line="17" w:lineRule="atLeast"/>
        <w:tabs>
          <w:tab w:val="left" w:pos="283" w:leader="none"/>
        </w:tabs>
        <w:rPr>
          <w:rFonts w:ascii="Tinos" w:hAnsi="Tinos" w:cs="Tinos"/>
          <w:i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Порядок и условия платежей</w:t>
      </w:r>
      <w:r>
        <w:rPr>
          <w:rFonts w:ascii="Tinos" w:hAnsi="Tinos" w:cs="Tinos"/>
          <w:iCs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Оплата товара будет производиться денежными средствами в российских рублях платежными поручениями на счет Поставщика.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Оплата поставленного Поставщиком Товара осуществляется Покупателем: 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4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b/>
          <w:bCs/>
          <w:i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течение 30 (тридцати) календарных дней</w:t>
      </w:r>
      <w:r>
        <w:rPr>
          <w:rStyle w:val="1288"/>
          <w:rFonts w:ascii="Tinos" w:hAnsi="Tinos" w:eastAsia="Tinos" w:cs="Tinos"/>
          <w:sz w:val="22"/>
          <w:szCs w:val="22"/>
        </w:rPr>
        <w:footnoteReference w:id="3"/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/>
          <w:bCs/>
          <w:iCs/>
          <w:sz w:val="22"/>
          <w:szCs w:val="22"/>
        </w:rPr>
        <w:t xml:space="preserve">(если в едином реестре субъектов малого и среднего предпринимательства отсутствуют сведения о Поставщике); </w:t>
      </w:r>
      <w:r>
        <w:rPr>
          <w:rFonts w:ascii="Tinos" w:hAnsi="Tinos" w:cs="Tinos"/>
          <w:b/>
          <w:bCs/>
          <w:iCs/>
          <w:sz w:val="22"/>
          <w:szCs w:val="22"/>
        </w:rPr>
      </w:r>
    </w:p>
    <w:p>
      <w:pPr>
        <w:pStyle w:val="1270"/>
        <w:numPr>
          <w:ilvl w:val="0"/>
          <w:numId w:val="54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течение 7 (семи) рабочих дней</w:t>
      </w:r>
      <w:r>
        <w:rPr>
          <w:rFonts w:ascii="Tinos" w:hAnsi="Tinos" w:eastAsia="Tinos" w:cs="Tinos"/>
          <w:b/>
          <w:bCs/>
          <w:iCs/>
          <w:sz w:val="22"/>
          <w:szCs w:val="22"/>
        </w:rPr>
        <w:t xml:space="preserve"> (если сведения о Поставщике содержатся в едином реестре субъектов малого и среднего предпринимательства)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ind w:left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со дня подписания Сторонами товарной накладной (унифицированная форма ТОРГ - 12) и фактической передачи Товара в полном объеме в соответствии с направленной Поставщику Заявкой, в собственность Поку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пателя, на основании выставленного Поставщиком Покупателю надлежаще оформленного счета, при условии предоставления Поставщиком и принятия Покупателем обеспечения исполнения гарантийных обязательств в порядке и сроки, установленные в приложении 7 к Договору</w:t>
      </w:r>
      <w:r>
        <w:rPr>
          <w:rStyle w:val="1288"/>
          <w:rFonts w:ascii="Times New Roman" w:hAnsi="Times New Roman" w:cs="Times New Roman"/>
          <w:sz w:val="24"/>
          <w:szCs w:val="24"/>
          <w:highlight w:val="white"/>
        </w:rPr>
        <w:footnoteReference w:id="4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Датой оплаты считается дата списания денежных средств с расчетного счета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</w:t>
      </w:r>
      <w:r>
        <w:rPr>
          <w:rFonts w:ascii="Tinos" w:hAnsi="Tinos" w:eastAsia="Tinos" w:cs="Tinos"/>
          <w:sz w:val="22"/>
          <w:szCs w:val="22"/>
        </w:rPr>
        <w:t xml:space="preserve">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</w:t>
      </w:r>
      <w:r>
        <w:rPr>
          <w:rFonts w:ascii="Tinos" w:hAnsi="Tinos" w:eastAsia="Tinos" w:cs="Tinos"/>
          <w:sz w:val="22"/>
          <w:szCs w:val="22"/>
        </w:rPr>
        <w:t xml:space="preserve">Покупателю.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отношен</w:t>
      </w:r>
      <w:r>
        <w:rPr>
          <w:rFonts w:ascii="Tinos" w:hAnsi="Tinos" w:eastAsia="Tinos" w:cs="Tinos"/>
          <w:sz w:val="22"/>
          <w:szCs w:val="22"/>
        </w:rP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>
        <w:rPr>
          <w:rFonts w:ascii="Tinos" w:hAnsi="Tinos" w:eastAsia="Tinos" w:cs="Tinos"/>
          <w:sz w:val="22"/>
          <w:szCs w:val="22"/>
        </w:rPr>
        <w:t xml:space="preserve">6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 402-ФЗ «О бухгалтерском учете», в т.ч. наименование документа; дата сос</w:t>
      </w:r>
      <w:r>
        <w:rPr>
          <w:rFonts w:ascii="Tinos" w:hAnsi="Tinos" w:eastAsia="Tinos" w:cs="Tinos"/>
          <w:sz w:val="22"/>
          <w:szCs w:val="22"/>
        </w:rPr>
        <w:t xml:space="preserve">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rFonts w:ascii="Tinos" w:hAnsi="Tinos" w:eastAsia="Tinos" w:cs="Tinos"/>
          <w:sz w:val="22"/>
          <w:szCs w:val="22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оформляет и направляет Покупателю счет-фактуру либо УПД в соответствии со ст. 169 НК РФ и Правил, утвержденных Постановлением Правительства РФ № 1137 от 26.12.2011г.</w:t>
      </w:r>
      <w:r>
        <w:rPr>
          <w:rFonts w:ascii="Tinos" w:hAnsi="Tinos" w:cs="Tinos"/>
          <w:sz w:val="22"/>
          <w:szCs w:val="22"/>
        </w:rPr>
      </w:r>
    </w:p>
    <w:p>
      <w:pPr>
        <w:pStyle w:val="1388"/>
        <w:numPr>
          <w:ilvl w:val="0"/>
          <w:numId w:val="50"/>
        </w:numPr>
        <w:ind w:left="0" w:right="1238" w:firstLine="0"/>
        <w:jc w:val="center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Права и обязанности сторон</w:t>
      </w:r>
      <w:r>
        <w:rPr>
          <w:rFonts w:ascii="Tinos" w:hAnsi="Tinos" w:cs="Tinos"/>
          <w:b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обязан:</w:t>
      </w:r>
      <w:r>
        <w:rPr>
          <w:rFonts w:ascii="Tinos" w:hAnsi="Tinos" w:cs="Tinos"/>
          <w:sz w:val="22"/>
          <w:szCs w:val="22"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Получать письменное согласие Покупателя на уступку, передачу (в том числе в залог), перепоручение прав (требований) и обязанностей Поставщика по Договору третьему лицу, за исключением случаев, указанных в Договоре.</w:t>
      </w:r>
      <w:r>
        <w:rPr>
          <w:rFonts w:ascii="Tinos" w:hAnsi="Tinos" w:cs="Tinos"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Представлять Покупателю:</w:t>
      </w:r>
      <w:r>
        <w:rPr>
          <w:rFonts w:ascii="Tinos" w:hAnsi="Tinos" w:cs="Tinos"/>
          <w:bCs/>
        </w:rPr>
      </w:r>
    </w:p>
    <w:p>
      <w:pPr>
        <w:pStyle w:val="1270"/>
        <w:numPr>
          <w:ilvl w:val="0"/>
          <w:numId w:val="60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информацию о полной цепочке собственников Поставщика, включая конечных бенефициаров, а также о составе исполнительных органов </w:t>
      </w:r>
      <w:r>
        <w:rPr>
          <w:rFonts w:ascii="Tinos" w:hAnsi="Tinos" w:eastAsia="Tinos" w:cs="Tinos"/>
          <w:bCs/>
          <w:sz w:val="22"/>
          <w:szCs w:val="22"/>
        </w:rPr>
        <w:t xml:space="preserve">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№ 4 к Договору, </w:t>
      </w:r>
      <w:r>
        <w:rPr>
          <w:rFonts w:ascii="Tinos" w:hAnsi="Tinos" w:eastAsia="Tinos" w:cs="Tinos"/>
          <w:sz w:val="22"/>
          <w:szCs w:val="22"/>
        </w:rPr>
        <w:t xml:space="preserve">а также в формате Excel и PDF на адрес электронной почты </w:t>
      </w:r>
      <w:hyperlink r:id="rId16" w:tooltip="mailto:EvtifevaDV@tv.rosseti-sib.ru" w:history="1">
        <w:r>
          <w:rPr>
            <w:rFonts w:ascii="Tinos" w:hAnsi="Tinos" w:eastAsia="Tinos" w:cs="Tinos"/>
            <w:color w:val="0000ff"/>
            <w:sz w:val="22"/>
            <w:szCs w:val="22"/>
            <w:u w:val="single"/>
          </w:rPr>
          <w:t xml:space="preserve">EvtifevaDV@tv.rosseti-sib.ru</w:t>
        </w:r>
      </w:hyperlink>
      <w:r>
        <w:rPr>
          <w:rFonts w:ascii="Tinos" w:hAnsi="Tinos" w:eastAsia="Tinos" w:cs="Tinos"/>
          <w:bCs/>
          <w:sz w:val="22"/>
          <w:szCs w:val="22"/>
        </w:rPr>
        <w:t xml:space="preserve">;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270"/>
        <w:numPr>
          <w:ilvl w:val="0"/>
          <w:numId w:val="60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информацию о привлечении Поставщиком к исполнению своих обязательств по Договор</w:t>
      </w:r>
      <w:r>
        <w:rPr>
          <w:rFonts w:ascii="Tinos" w:hAnsi="Tinos" w:eastAsia="Tinos" w:cs="Tinos"/>
          <w:bCs/>
          <w:sz w:val="22"/>
          <w:szCs w:val="22"/>
        </w:rPr>
        <w:t xml:space="preserve">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nos" w:hAnsi="Tinos" w:eastAsia="Tinos" w:cs="Tinos"/>
          <w:bCs/>
          <w:spacing w:val="-4"/>
          <w:sz w:val="22"/>
          <w:szCs w:val="22"/>
        </w:rPr>
        <w:t xml:space="preserve">с копиями подтверждающих документов), по форме, указанной в приложении № 4</w:t>
      </w:r>
      <w:r>
        <w:rPr>
          <w:rFonts w:ascii="Tinos" w:hAnsi="Tinos" w:eastAsia="Tinos" w:cs="Tinos"/>
          <w:bCs/>
          <w:sz w:val="22"/>
          <w:szCs w:val="22"/>
        </w:rPr>
        <w:t xml:space="preserve"> к Договору, </w:t>
      </w:r>
      <w:r>
        <w:rPr>
          <w:rFonts w:ascii="Tinos" w:hAnsi="Tinos" w:eastAsia="Tinos" w:cs="Tinos"/>
          <w:sz w:val="22"/>
          <w:szCs w:val="22"/>
        </w:rPr>
        <w:t xml:space="preserve">а также в формате Excel и PDF на адрес электронной почты </w:t>
      </w:r>
      <w:hyperlink r:id="rId17" w:tooltip="mailto:EvtifevaDV@tv.rosseti-sib.ru" w:history="1">
        <w:r>
          <w:rPr>
            <w:rFonts w:ascii="Tinos" w:hAnsi="Tinos" w:eastAsia="Tinos" w:cs="Tinos"/>
            <w:color w:val="0000ff"/>
            <w:sz w:val="22"/>
            <w:szCs w:val="22"/>
            <w:u w:val="single"/>
          </w:rPr>
          <w:t xml:space="preserve">EvtifevaDV@tv.rosseti-sib.ru</w:t>
        </w:r>
      </w:hyperlink>
      <w:r>
        <w:rPr>
          <w:rFonts w:ascii="Tinos" w:hAnsi="Tinos" w:eastAsia="Tinos" w:cs="Tinos"/>
          <w:bCs/>
          <w:sz w:val="22"/>
          <w:szCs w:val="22"/>
        </w:rPr>
        <w:t xml:space="preserve">;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270"/>
        <w:numPr>
          <w:ilvl w:val="0"/>
          <w:numId w:val="60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инфо</w:t>
      </w:r>
      <w:r>
        <w:rPr>
          <w:rFonts w:ascii="Tinos" w:hAnsi="Tinos" w:eastAsia="Tinos" w:cs="Tinos"/>
          <w:bCs/>
          <w:sz w:val="22"/>
          <w:szCs w:val="22"/>
        </w:rPr>
        <w:t xml:space="preserve">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</w:t>
      </w:r>
      <w:r>
        <w:rPr>
          <w:rFonts w:ascii="Tinos" w:hAnsi="Tinos" w:eastAsia="Tinos" w:cs="Tinos"/>
          <w:bCs/>
          <w:sz w:val="22"/>
          <w:szCs w:val="22"/>
        </w:rPr>
        <w:t xml:space="preserve">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</w:t>
      </w:r>
      <w:r>
        <w:rPr>
          <w:rFonts w:ascii="Tinos" w:hAnsi="Tinos" w:eastAsia="Tinos" w:cs="Tinos"/>
          <w:bCs/>
          <w:sz w:val="22"/>
          <w:szCs w:val="22"/>
        </w:rPr>
        <w:t xml:space="preserve">и подтверждающих документов) представляется Покупателю по форме, указанной в приложении № 4 к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rFonts w:ascii="Tinos" w:hAnsi="Tinos" w:cs="Tinos"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</w:t>
      </w:r>
      <w:r>
        <w:rPr>
          <w:rFonts w:ascii="Tinos" w:hAnsi="Tinos" w:eastAsia="Tinos" w:cs="Tinos"/>
          <w:bCs/>
        </w:rPr>
        <w:t xml:space="preserve">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 по форме, указанной в приложении № 5 к Договору.</w:t>
      </w:r>
      <w:r>
        <w:rPr>
          <w:rFonts w:ascii="Tinos" w:hAnsi="Tinos" w:cs="Tinos"/>
          <w:bCs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  <w:highlight w:val="white"/>
        </w:rPr>
        <w:t xml:space="preserve">Предоставить обеспечение исполнения обязательств по Договору (в т.ч. обеспечения исполнения гарантийных обязательств) в соответствии с Приложением 7 к настоящему Договору </w:t>
      </w:r>
      <w:r>
        <w:rPr>
          <w:rStyle w:val="1288"/>
          <w:rFonts w:ascii="Tinos" w:hAnsi="Tinos" w:eastAsia="Tinos" w:cs="Tinos"/>
        </w:rPr>
        <w:footnoteReference w:id="5"/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  <w:bCs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  <w:r>
        <w:rPr>
          <w:rFonts w:ascii="Tinos" w:hAnsi="Tinos" w:cs="Tinos"/>
          <w:bCs/>
        </w:rPr>
      </w:r>
    </w:p>
    <w:p>
      <w:pPr>
        <w:pStyle w:val="1270"/>
        <w:numPr>
          <w:ilvl w:val="2"/>
          <w:numId w:val="50"/>
        </w:numPr>
        <w:ind w:left="0" w:firstLine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  <w:lang w:eastAsia="en-US"/>
        </w:rPr>
        <w:t xml:space="preserve">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обязу</w:t>
      </w:r>
      <w:r>
        <w:rPr>
          <w:rFonts w:ascii="Tinos" w:hAnsi="Tinos" w:eastAsia="Tinos" w:cs="Tinos"/>
        </w:rPr>
        <w:t xml:space="preserve">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</w:t>
      </w:r>
      <w:r>
        <w:rPr>
          <w:rFonts w:ascii="Tinos" w:hAnsi="Tinos" w:eastAsia="Tinos" w:cs="Tinos"/>
        </w:rPr>
        <w:t xml:space="preserve">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  <w:r>
        <w:rPr>
          <w:rFonts w:ascii="Tinos" w:hAnsi="Tinos" w:cs="Tinos"/>
        </w:rPr>
      </w:r>
    </w:p>
    <w:p>
      <w:pPr>
        <w:pStyle w:val="1388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</w:t>
      </w:r>
      <w:r>
        <w:rPr>
          <w:rFonts w:ascii="Tinos" w:hAnsi="Tinos" w:eastAsia="Tinos" w:cs="Tinos"/>
        </w:rPr>
        <w:t xml:space="preserve">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</w:t>
      </w:r>
      <w:r>
        <w:rPr>
          <w:rFonts w:ascii="Tinos" w:hAnsi="Tinos" w:eastAsia="Tinos" w:cs="Tinos"/>
        </w:rPr>
        <w:t xml:space="preserve">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50"/>
        </w:numPr>
        <w:jc w:val="both"/>
        <w:spacing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Поставщик имеет право: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388"/>
        <w:numPr>
          <w:ilvl w:val="2"/>
          <w:numId w:val="50"/>
        </w:numPr>
        <w:ind w:left="0" w:firstLine="0"/>
        <w:jc w:val="both"/>
        <w:spacing w:line="17" w:lineRule="atLeast"/>
        <w:tabs>
          <w:tab w:val="left" w:pos="567" w:leader="none"/>
        </w:tabs>
        <w:rPr>
          <w:rFonts w:ascii="Tinos" w:hAnsi="Tinos" w:cs="Tinos"/>
        </w:rPr>
        <w:pBdr>
          <w:left w:val="single" w:color="000000" w:sz="4" w:space="0"/>
        </w:pBdr>
      </w:pPr>
      <w:r>
        <w:rPr>
          <w:rStyle w:val="1288"/>
          <w:rFonts w:ascii="Tinos" w:hAnsi="Tinos" w:eastAsia="Tinos" w:cs="Tinos"/>
          <w:b/>
        </w:rPr>
        <w:footnoteReference w:id="6"/>
      </w:r>
      <w:r>
        <w:rPr>
          <w:rFonts w:ascii="Tinos" w:hAnsi="Tinos" w:eastAsia="Tinos" w:cs="Tinos"/>
        </w:rPr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</w:t>
      </w:r>
      <w:r>
        <w:rPr>
          <w:rFonts w:ascii="Tinos" w:hAnsi="Tinos" w:eastAsia="Tinos" w:cs="Tinos"/>
        </w:rPr>
        <w:t xml:space="preserve">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</w:p>
    <w:p>
      <w:pPr>
        <w:pStyle w:val="1388"/>
        <w:ind w:firstLine="284"/>
        <w:jc w:val="both"/>
        <w:spacing w:line="17" w:lineRule="atLeast"/>
        <w:tabs>
          <w:tab w:val="left" w:pos="567" w:leader="none"/>
        </w:tabs>
        <w:rPr>
          <w:rFonts w:ascii="Tinos" w:hAnsi="Tinos" w:cs="Tinos"/>
        </w:rPr>
        <w:pBdr>
          <w:left w:val="single" w:color="000000" w:sz="4" w:space="0"/>
        </w:pBdr>
      </w:pPr>
      <w:r>
        <w:rPr>
          <w:rFonts w:ascii="Tinos" w:hAnsi="Tinos" w:eastAsia="Tinos" w:cs="Tinos"/>
        </w:rPr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</w:p>
    <w:p>
      <w:pPr>
        <w:ind w:firstLine="284"/>
        <w:jc w:val="both"/>
        <w:spacing w:after="0" w:line="17" w:lineRule="atLeast"/>
        <w:tabs>
          <w:tab w:val="left" w:pos="0" w:leader="none"/>
          <w:tab w:val="left" w:pos="567" w:leader="none"/>
          <w:tab w:val="left" w:pos="1276" w:leader="none"/>
        </w:tabs>
        <w:rPr>
          <w:rFonts w:ascii="Tinos" w:hAnsi="Tinos" w:cs="Tinos"/>
          <w:bCs/>
        </w:rPr>
        <w:pBdr>
          <w:left w:val="single" w:color="000000" w:sz="4" w:space="0"/>
        </w:pBdr>
      </w:pPr>
      <w:r>
        <w:rPr>
          <w:rFonts w:ascii="Tinos" w:hAnsi="Tinos" w:eastAsia="Tinos" w:cs="Tinos"/>
        </w:rPr>
        <w:t xml:space="preserve">Куратор договора в течение 1 (одного) рабочего дня с даты получения оригинала </w:t>
      </w:r>
      <w:r>
        <w:rPr>
          <w:rFonts w:ascii="Tinos" w:hAnsi="Tinos" w:eastAsia="Tinos" w:cs="Tinos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8" w:tooltip="mailto:cfd@rosseti.ru" w:history="1">
        <w:r>
          <w:rPr>
            <w:rStyle w:val="1271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cs="Tinos"/>
          <w:bCs/>
        </w:rPr>
      </w:r>
    </w:p>
    <w:p>
      <w:pPr>
        <w:pStyle w:val="1270"/>
        <w:numPr>
          <w:ilvl w:val="2"/>
          <w:numId w:val="50"/>
        </w:numPr>
        <w:ind w:left="567" w:hanging="567"/>
        <w:jc w:val="both"/>
        <w:spacing w:line="17" w:lineRule="atLeast"/>
        <w:tabs>
          <w:tab w:val="left" w:pos="0" w:leader="none"/>
          <w:tab w:val="left" w:pos="1276" w:leader="none"/>
        </w:tabs>
        <w:rPr>
          <w:rFonts w:ascii="Tinos" w:hAnsi="Tinos" w:cs="Tinos"/>
          <w:bCs/>
          <w:sz w:val="22"/>
          <w:szCs w:val="22"/>
        </w:rPr>
        <w:pBdr>
          <w:left w:val="single" w:color="000000" w:sz="4" w:space="0"/>
        </w:pBdr>
      </w:pPr>
      <w:r>
        <w:rPr>
          <w:rFonts w:ascii="Tinos" w:hAnsi="Tinos" w:eastAsia="Tinos" w:cs="Tinos"/>
          <w:bCs/>
          <w:sz w:val="22"/>
          <w:szCs w:val="22"/>
        </w:rPr>
        <w:t xml:space="preserve">С согласия Покупателя поставить Товар досрочно.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270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iCs/>
          <w:sz w:val="22"/>
          <w:szCs w:val="22"/>
        </w:rPr>
      </w:pPr>
      <w:r/>
      <w:bookmarkStart w:id="1" w:name="Par0"/>
      <w:r/>
      <w:bookmarkEnd w:id="1"/>
      <w:r>
        <w:rPr>
          <w:rFonts w:ascii="Tinos" w:hAnsi="Tinos" w:eastAsia="Tinos" w:cs="Tinos"/>
          <w:iCs/>
          <w:sz w:val="22"/>
          <w:szCs w:val="22"/>
        </w:rPr>
        <w:t xml:space="preserve">Покупатель обязан:</w:t>
      </w:r>
      <w:r>
        <w:rPr>
          <w:rFonts w:ascii="Tinos" w:hAnsi="Tinos" w:cs="Tinos"/>
          <w:iCs/>
          <w:sz w:val="22"/>
          <w:szCs w:val="22"/>
        </w:rPr>
      </w:r>
    </w:p>
    <w:p>
      <w:pPr>
        <w:pStyle w:val="1270"/>
        <w:numPr>
          <w:ilvl w:val="2"/>
          <w:numId w:val="48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  <w:tab w:val="left" w:pos="851" w:leader="none"/>
          <w:tab w:val="left" w:pos="900" w:leader="none"/>
          <w:tab w:val="left" w:pos="993" w:leader="none"/>
        </w:tabs>
        <w:rPr>
          <w:rFonts w:ascii="Tinos" w:hAnsi="Tinos" w:cs="Tinos"/>
          <w:iCs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  <w:lang w:eastAsia="en-US"/>
        </w:rPr>
        <w:t xml:space="preserve">Производить расчеты с Поставщиком в размере и в сроки, установленные настоящим Договором.</w:t>
      </w:r>
      <w:r>
        <w:rPr>
          <w:rFonts w:ascii="Tinos" w:hAnsi="Tinos" w:cs="Tinos"/>
          <w:iCs/>
          <w:sz w:val="22"/>
          <w:szCs w:val="22"/>
        </w:rPr>
      </w:r>
    </w:p>
    <w:p>
      <w:pPr>
        <w:pStyle w:val="1270"/>
        <w:numPr>
          <w:ilvl w:val="1"/>
          <w:numId w:val="48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  <w:tab w:val="left" w:pos="851" w:leader="none"/>
          <w:tab w:val="left" w:pos="900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Поставщиком своих обязательств, предусмотренных приложением 7 к</w:t>
      </w:r>
      <w:r>
        <w:rPr>
          <w:rFonts w:ascii="Times New Roman" w:hAnsi="Times New Roman"/>
          <w:sz w:val="24"/>
          <w:szCs w:val="24"/>
        </w:rPr>
        <w:t xml:space="preserve"> Договору в части предоставления/за</w:t>
      </w:r>
      <w:r>
        <w:rPr>
          <w:rFonts w:ascii="Times New Roman" w:hAnsi="Times New Roman"/>
          <w:sz w:val="24"/>
          <w:szCs w:val="24"/>
        </w:rPr>
        <w:t xml:space="preserve">мены обеспечения обязательств, непогашенная часть аванса должна быть возвращена Покупателю в течение 20 (двадцати) банковских дней с даты, когда Поставщик узнал или должен был узнать об отзыве или приостановлении лицензии гаранта на банковскую деятельность</w:t>
      </w:r>
      <w:r>
        <w:rPr>
          <w:rFonts w:ascii="Tinos" w:hAnsi="Tinos" w:cs="Tinos"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48"/>
        </w:numPr>
        <w:ind w:left="0" w:firstLine="0"/>
        <w:jc w:val="center"/>
        <w:spacing w:line="17" w:lineRule="atLeast"/>
        <w:tabs>
          <w:tab w:val="left" w:pos="283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Порядок поставки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6.1. </w:t>
      </w:r>
      <w:r>
        <w:rPr>
          <w:rFonts w:ascii="Tinos" w:hAnsi="Tinos" w:eastAsia="Tinos" w:cs="Tinos"/>
        </w:rPr>
        <w:t xml:space="preserve">Поставка Товара осуществляется Поставщиком Покупателю на объект поставки в соответствии с условиями, адресом и сроками, предусмотренными Заявками (по форме приложения № 3 к Договору) и другими условиями Договора.</w:t>
      </w:r>
      <w:r>
        <w:rPr>
          <w:rFonts w:ascii="Tinos" w:hAnsi="Tinos" w:cs="Tinos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Срок поставки:  по Заявкам Покупателя, с даты заключения договора в течение 365 (трехсот ше</w:t>
      </w:r>
      <w:r>
        <w:rPr>
          <w:rFonts w:ascii="Tinos" w:hAnsi="Tinos" w:eastAsia="Tinos" w:cs="Tinos"/>
        </w:rPr>
        <w:t xml:space="preserve">стидесяти пяти) календарных дней. 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60 (шестьдесят) календарных дней до планируемого срока поставки.</w:t>
      </w:r>
      <w:r>
        <w:rPr>
          <w:rFonts w:ascii="Tinos" w:hAnsi="Tinos" w:cs="Tinos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</w:rPr>
        <w:t xml:space="preserve">6.2. </w:t>
      </w:r>
      <w:r>
        <w:rPr>
          <w:rFonts w:ascii="Tinos" w:hAnsi="Tinos" w:eastAsia="Tinos" w:cs="Tinos"/>
          <w:iCs/>
        </w:rPr>
        <w:t xml:space="preserve">Н</w:t>
      </w:r>
      <w:r>
        <w:rPr>
          <w:rFonts w:ascii="Tinos" w:hAnsi="Tinos" w:eastAsia="Tinos" w:cs="Tinos"/>
        </w:rPr>
        <w:t xml:space="preserve">аименование, упаковка и маркировка Товара</w:t>
      </w:r>
      <w:r>
        <w:rPr>
          <w:rFonts w:ascii="Tinos" w:hAnsi="Tinos" w:eastAsia="Tinos" w:cs="Tinos"/>
          <w:i/>
          <w:iCs/>
        </w:rPr>
        <w:t xml:space="preserve">,</w:t>
      </w:r>
      <w:r>
        <w:rPr>
          <w:rFonts w:ascii="Tinos" w:hAnsi="Tinos" w:eastAsia="Tinos" w:cs="Tinos"/>
        </w:rPr>
        <w:t xml:space="preserve"> страна происхождения Товара, а также документация </w:t>
      </w:r>
      <w:r>
        <w:rPr>
          <w:rFonts w:ascii="Tinos" w:hAnsi="Tinos" w:eastAsia="Tinos" w:cs="Tinos"/>
          <w:spacing w:val="-4"/>
        </w:rPr>
        <w:t xml:space="preserve">должны строго соответствовать требованиям, предусмотренным в приложении № 2</w:t>
      </w:r>
      <w:r>
        <w:rPr>
          <w:rFonts w:ascii="Tinos" w:hAnsi="Tinos" w:eastAsia="Tinos" w:cs="Tinos"/>
        </w:rPr>
        <w:t xml:space="preserve"> к Договору</w:t>
      </w:r>
      <w:r>
        <w:rPr>
          <w:rFonts w:ascii="Tinos" w:hAnsi="Tinos" w:eastAsia="Tinos" w:cs="Tinos"/>
          <w:spacing w:val="-4"/>
        </w:rPr>
        <w:t xml:space="preserve">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highlight w:val="white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</w:t>
      </w:r>
      <w:r>
        <w:rPr>
          <w:rFonts w:ascii="Tinos" w:hAnsi="Tinos" w:eastAsia="Tinos" w:cs="Tinos"/>
          <w:highlight w:val="white"/>
        </w:rPr>
        <w:t xml:space="preserve">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 ГОСТ Р 52719-2007 и др. нормативно-технической документации.</w:t>
      </w:r>
      <w:r>
        <w:rPr>
          <w:rFonts w:ascii="Tinos" w:hAnsi="Tinos" w:eastAsia="Tinos" w:cs="Tinos"/>
          <w:spacing w:val="-4"/>
        </w:rPr>
        <w:t xml:space="preserve"> </w:t>
      </w:r>
      <w:r>
        <w:rPr>
          <w:rFonts w:ascii="Tinos" w:hAnsi="Tinos" w:eastAsia="Tinos" w:cs="Tinos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Продукция должна соответствовать требованиям:</w:t>
      </w:r>
      <w:r>
        <w:rPr>
          <w:rFonts w:ascii="Tinos" w:hAnsi="Tinos" w:cs="Tinos"/>
          <w:spacing w:val="-4"/>
        </w:rPr>
      </w:r>
    </w:p>
    <w:p>
      <w:pPr>
        <w:pStyle w:val="1388"/>
        <w:numPr>
          <w:ilvl w:val="0"/>
          <w:numId w:val="61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действующим в РФ нормативным документам;</w:t>
      </w:r>
      <w:r>
        <w:rPr>
          <w:rFonts w:ascii="Tinos" w:hAnsi="Tinos" w:cs="Tinos"/>
          <w:spacing w:val="-4"/>
        </w:rPr>
      </w:r>
    </w:p>
    <w:p>
      <w:pPr>
        <w:pStyle w:val="1388"/>
        <w:numPr>
          <w:ilvl w:val="0"/>
          <w:numId w:val="61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nos" w:hAnsi="Tinos" w:cs="Tinos"/>
          <w:spacing w:val="-4"/>
        </w:rPr>
      </w:r>
    </w:p>
    <w:p>
      <w:pPr>
        <w:pStyle w:val="1388"/>
        <w:numPr>
          <w:ilvl w:val="0"/>
          <w:numId w:val="61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highlight w:val="white"/>
        </w:rPr>
        <w:t xml:space="preserve">СТО 34.01-3.2-011-2021 «Трансформаторы силовые распределительные 6-10 кВ мощностью 63-2500 кВА. Требования к уровню потерь холостого хода и короткого замыкания»</w:t>
      </w:r>
      <w:r>
        <w:rPr>
          <w:rFonts w:ascii="Tinos" w:hAnsi="Tinos" w:eastAsia="Tinos" w:cs="Tinos"/>
          <w:spacing w:val="-4"/>
        </w:rPr>
        <w:t xml:space="preserve">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nos" w:hAnsi="Tinos" w:cs="Tinos"/>
          <w:spacing w:val="-4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 всем видам оборудования поставщик должен предоставить полный комплект техниче</w:t>
      </w:r>
      <w:r>
        <w:rPr>
          <w:rFonts w:ascii="Tinos" w:hAnsi="Tinos" w:eastAsia="Tinos" w:cs="Tinos"/>
        </w:rPr>
        <w:t xml:space="preserve">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>
        <w:rPr>
          <w:rFonts w:ascii="Tinos" w:hAnsi="Tinos" w:cs="Tinos"/>
        </w:rPr>
      </w:r>
    </w:p>
    <w:p>
      <w:pPr>
        <w:pStyle w:val="1388"/>
        <w:jc w:val="both"/>
        <w:spacing w:line="17" w:lineRule="atLeast"/>
        <w:widowControl w:val="off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предоставить полный комплект ЗИП. Объем ЗИП должен гарантировать выполнение требований по готовности и ре</w:t>
      </w:r>
      <w:r>
        <w:rPr>
          <w:rFonts w:ascii="Tinos" w:hAnsi="Tinos" w:eastAsia="Tinos" w:cs="Tinos"/>
        </w:rPr>
        <w:t xml:space="preserve">монтопригодности продукции в течение гарантийного срока эксплуатации. В состав принадлежностей должны входить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iCs/>
        </w:rPr>
        <w:t xml:space="preserve">6.3. </w:t>
      </w:r>
      <w:r>
        <w:rPr>
          <w:rFonts w:ascii="Tinos" w:hAnsi="Tinos" w:eastAsia="Tinos" w:cs="Tinos"/>
        </w:rPr>
        <w:t xml:space="preserve">Поставщик в любом случае должен поставить Товар в таре и упаковке, гарантирующей его сохранность во время поставки. В случае, предусмотренном в до</w:t>
      </w:r>
      <w:r>
        <w:rPr>
          <w:rFonts w:ascii="Tinos" w:hAnsi="Tinos" w:eastAsia="Tinos" w:cs="Tinos"/>
        </w:rPr>
        <w:t xml:space="preserve">кументации,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</w:t>
      </w:r>
      <w:r>
        <w:rPr>
          <w:rFonts w:ascii="Tinos" w:hAnsi="Tinos" w:eastAsia="Tinos" w:cs="Tinos"/>
        </w:rPr>
        <w:t xml:space="preserve">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1560" w:leader="none"/>
          <w:tab w:val="num" w:pos="212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6.</w:t>
      </w:r>
      <w:r>
        <w:rPr>
          <w:rFonts w:ascii="Tinos" w:hAnsi="Tinos" w:eastAsia="Tinos" w:cs="Tinos"/>
        </w:rPr>
        <w:t xml:space="preserve">4. Поставщик может осуществить досрочную поставку Товара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</w:t>
      </w:r>
      <w:r>
        <w:rPr>
          <w:rFonts w:ascii="Tinos" w:hAnsi="Tinos" w:eastAsia="Tinos" w:cs="Tinos"/>
        </w:rPr>
        <w:t xml:space="preserve">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  <w:tab w:val="left" w:pos="1276" w:leader="none"/>
          <w:tab w:val="left" w:pos="1560" w:leader="none"/>
          <w:tab w:val="num" w:pos="2127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6.5. </w:t>
      </w:r>
      <w:r>
        <w:rPr>
          <w:rFonts w:ascii="Tinos" w:hAnsi="Tinos" w:eastAsia="Tinos" w:cs="Tinos"/>
        </w:rPr>
        <w:t xml:space="preserve">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  <w:tab w:val="left" w:pos="1276" w:leader="none"/>
          <w:tab w:val="num" w:pos="16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</w:t>
      </w:r>
      <w:r>
        <w:rPr>
          <w:rFonts w:ascii="Tinos" w:hAnsi="Tinos" w:eastAsia="Tinos" w:cs="Tinos"/>
        </w:rPr>
        <w:t xml:space="preserve">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Заявках на поставку (приложение № 3 к настоящему Договору).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567" w:leader="none"/>
          <w:tab w:val="num" w:pos="16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непроверенного Товара.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1560" w:leader="none"/>
          <w:tab w:val="num" w:pos="212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</w:t>
      </w:r>
      <w:r>
        <w:rPr>
          <w:rFonts w:ascii="Tinos" w:hAnsi="Tinos" w:eastAsia="Tinos" w:cs="Tinos"/>
        </w:rP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48"/>
        </w:numPr>
        <w:ind w:left="0" w:right="850" w:firstLine="0"/>
        <w:jc w:val="center"/>
        <w:spacing w:line="17" w:lineRule="atLeast"/>
        <w:tabs>
          <w:tab w:val="left" w:pos="283" w:leader="none"/>
          <w:tab w:val="left" w:pos="426" w:leader="none"/>
          <w:tab w:val="left" w:pos="1200" w:leader="none"/>
          <w:tab w:val="left" w:pos="2410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Документация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7.1. Товар должен соответствовать требованиям закупочной документации,</w:t>
      </w:r>
      <w:r>
        <w:rPr>
          <w:rFonts w:ascii="Tinos" w:hAnsi="Tinos" w:eastAsia="Tinos" w:cs="Tinos"/>
        </w:rPr>
        <w:t xml:space="preserve"> обязательным нормативно-техническим документам группы компаний «Россети», быть снабжен соответствую</w:t>
      </w:r>
      <w:r>
        <w:rPr>
          <w:rFonts w:ascii="Tinos" w:hAnsi="Tinos" w:eastAsia="Tinos" w:cs="Tinos"/>
        </w:rPr>
        <w:t xml:space="preserve">щими техническими паспортами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  <w:spacing w:val="-4"/>
        </w:rPr>
      </w:pPr>
      <w:r>
        <w:rPr>
          <w:rFonts w:ascii="Tinos" w:hAnsi="Tinos" w:eastAsia="Tinos" w:cs="Tinos"/>
          <w:spacing w:val="-4"/>
        </w:rPr>
        <w:t xml:space="preserve">7.2. Поставщик обязан предоставить следующие документы, подтверждающие соответствие Продукции установленным требованиям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spacing w:val="-4"/>
        </w:rPr>
        <w:t xml:space="preserve">на русском языке:</w:t>
      </w:r>
      <w:r>
        <w:rPr>
          <w:rFonts w:ascii="Tinos" w:hAnsi="Tinos" w:cs="Tinos"/>
          <w:spacing w:val="-4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7.2.1. Технический паспорт, </w:t>
      </w:r>
      <w:r>
        <w:rPr>
          <w:rFonts w:ascii="Tinos" w:hAnsi="Tinos" w:eastAsia="Tinos" w:cs="Tinos"/>
        </w:rPr>
        <w:t xml:space="preserve">полный комплект технической и эксплуатационной документации на русском языке, подготовленной в соответствии с ГОСТ 2.601-2013 по монтажу,</w:t>
      </w:r>
      <w:r>
        <w:rPr>
          <w:rFonts w:ascii="Tinos" w:hAnsi="Tinos" w:eastAsia="Tinos" w:cs="Tinos"/>
        </w:rPr>
        <w:t xml:space="preserve">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материалов., а также иную техническую сопроводительную документацию в соответствии с приложением № 2 к Договору.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7.2.2. Российские сертификаты/декларации соответствия требованиям ГОСТ Р (ГОСТ или ТУ (с приложением данных ТУ)) и безопасности на КТП;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7.2.3. Протоколы испытаний, указанные в сертификате/декларации;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7.2.4. Гарантийные свидетельства;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7.2.5.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909" w:leader="none"/>
        </w:tabs>
        <w:rPr>
          <w:rFonts w:ascii="Tinos" w:hAnsi="Tinos" w:cs="Tinos"/>
          <w:bCs/>
          <w:spacing w:val="-4"/>
        </w:rPr>
      </w:pPr>
      <w:r>
        <w:rPr>
          <w:rFonts w:ascii="Tinos" w:hAnsi="Tinos" w:eastAsia="Tinos" w:cs="Tinos"/>
        </w:rPr>
        <w:t xml:space="preserve">7.2.6.  Копию заключения о Проверке качества, </w:t>
      </w:r>
      <w:r>
        <w:rPr>
          <w:rFonts w:ascii="Tinos" w:hAnsi="Tinos" w:eastAsia="Tinos" w:cs="Tinos"/>
          <w:bCs/>
          <w:spacing w:val="-4"/>
        </w:rPr>
        <w:t xml:space="preserve">подтверждающего возможность применения Тов</w:t>
      </w:r>
      <w:r>
        <w:rPr>
          <w:rFonts w:ascii="Tinos" w:hAnsi="Tinos" w:eastAsia="Tinos" w:cs="Tinos"/>
          <w:bCs/>
          <w:spacing w:val="-4"/>
        </w:rPr>
        <w:t xml:space="preserve">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Комиссией по допуску оборудования (КДО) в случаях, предусмотренных в Регламенте работы КДО).</w:t>
      </w:r>
      <w:r>
        <w:rPr>
          <w:rFonts w:ascii="Tinos" w:hAnsi="Tinos" w:cs="Tinos"/>
          <w:bCs/>
          <w:spacing w:val="-4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nos" w:hAnsi="Tinos" w:cs="Tinos"/>
          <w:bCs/>
          <w:spacing w:val="-4"/>
        </w:rPr>
      </w:pPr>
      <w:r>
        <w:rPr>
          <w:rFonts w:ascii="Tinos" w:hAnsi="Tinos" w:eastAsia="Tinos" w:cs="Tinos"/>
          <w:bCs/>
          <w:spacing w:val="-4"/>
        </w:rPr>
        <w:t xml:space="preserve">7.2.7. Документ, подтверждающий страну происхождения Товара.</w:t>
      </w:r>
      <w:r>
        <w:rPr>
          <w:rFonts w:ascii="Tinos" w:hAnsi="Tinos" w:cs="Tinos"/>
          <w:bCs/>
          <w:spacing w:val="-4"/>
        </w:rPr>
      </w:r>
    </w:p>
    <w:p>
      <w:pPr>
        <w:ind w:right="850"/>
        <w:jc w:val="center"/>
        <w:spacing w:after="0" w:line="17" w:lineRule="atLeast"/>
        <w:widowControl w:val="off"/>
        <w:tabs>
          <w:tab w:val="left" w:pos="283" w:leader="none"/>
          <w:tab w:val="left" w:pos="993" w:leader="none"/>
          <w:tab w:val="left" w:pos="1985" w:leader="none"/>
          <w:tab w:val="left" w:pos="2345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8. Порядок приема-передачи Товара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8.1. Поставщик обязан не позднее чем за 3 (три)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Cs/>
          <w:spacing w:val="-4"/>
        </w:rPr>
        <w:t xml:space="preserve">8.2. </w:t>
      </w:r>
      <w:r>
        <w:rPr>
          <w:rFonts w:ascii="Tinos" w:hAnsi="Tinos" w:eastAsia="Tinos" w:cs="Tinos"/>
          <w:spacing w:val="-4"/>
        </w:rPr>
        <w:t xml:space="preserve">Приемка по качеству производится в соответствии с законодательством</w:t>
      </w:r>
      <w:r>
        <w:rPr>
          <w:rFonts w:ascii="Tinos" w:hAnsi="Tinos" w:eastAsia="Tinos" w:cs="Tinos"/>
        </w:rPr>
        <w:t xml:space="preserve"> Российской Федерации (ст. 513 ГК РФ) и условиями Договора.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8.3. </w:t>
      </w:r>
      <w:r>
        <w:rPr>
          <w:rFonts w:ascii="Tinos" w:hAnsi="Tinos" w:eastAsia="Tinos" w:cs="Tinos"/>
        </w:rPr>
        <w:t xml:space="preserve">Приемка по количеству производится в соответствии с законодательством Российской Федерации (ст. 513 ГК РФ) и условиями Договора.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8.4. </w:t>
      </w:r>
      <w:r>
        <w:rPr>
          <w:rFonts w:ascii="Tinos" w:hAnsi="Tinos" w:eastAsia="Tinos" w:cs="Tinos"/>
        </w:rPr>
        <w:t xml:space="preserve">Поставщик предъявляет Товар для осмотра Покупателю и передает документы, указанные в п. 7.2. Договора. При приемке Продукции осуществляется: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num" w:pos="567" w:leader="none"/>
          <w:tab w:val="num" w:pos="1626" w:leader="none"/>
        </w:tabs>
        <w:rPr>
          <w:rFonts w:ascii="Tinos" w:hAnsi="Tinos" w:cs="Tinos"/>
          <w:spacing w:val="-4"/>
          <w:highlight w:val="white"/>
        </w:rPr>
      </w:pPr>
      <w:r>
        <w:rPr>
          <w:rFonts w:ascii="Tinos" w:hAnsi="Tinos" w:eastAsia="Tinos" w:cs="Tinos"/>
          <w:highlight w:val="white"/>
        </w:rPr>
        <w:t xml:space="preserve">8.5</w:t>
      </w:r>
      <w:r>
        <w:rPr>
          <w:rFonts w:ascii="Tinos" w:hAnsi="Tinos" w:eastAsia="Tinos" w:cs="Tinos"/>
          <w:spacing w:val="-4"/>
          <w:highlight w:val="white"/>
        </w:rPr>
        <w:t xml:space="preserve">. Поставщик одновременно с передачей Товара направляет Покупателю:</w:t>
      </w:r>
      <w:r>
        <w:rPr>
          <w:rFonts w:ascii="Tinos" w:hAnsi="Tinos" w:cs="Tinos"/>
          <w:spacing w:val="-4"/>
          <w:highlight w:val="white"/>
        </w:rPr>
      </w:r>
    </w:p>
    <w:p>
      <w:pPr>
        <w:pStyle w:val="1270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универсальный передаточный документ/ ТОРГ -12; либо </w:t>
      </w:r>
      <w:r>
        <w:rPr>
          <w:rFonts w:ascii="Tinos" w:hAnsi="Tinos" w:eastAsia="Tinos" w:cs="Tinos"/>
          <w:sz w:val="22"/>
          <w:szCs w:val="22"/>
        </w:rPr>
        <w:t xml:space="preserve">счет-фактуру, оформленную в соответствии с требованиями налогового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документы, подтверждающие полномочия лиц, подписывающих акты,</w:t>
      </w:r>
      <w:r>
        <w:rPr>
          <w:rFonts w:ascii="Tinos" w:hAnsi="Tinos" w:eastAsia="Tinos" w:cs="Tinos"/>
          <w:sz w:val="22"/>
          <w:szCs w:val="22"/>
        </w:rPr>
        <w:t xml:space="preserve">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импортного Товара - документы, указанные в п. 7.2.3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товарно-транспортную накладную, составленную по типовой межотраслевой форме № 1-Т, утвержденной постановлением Госкомстата России от 28.11.1997 № 78 (в случае, если доставка Товара осуществлялась автомобильным транспортом).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ind w:left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импортного товара, подлежащего прослеживаемости в соответст</w:t>
      </w:r>
      <w:r>
        <w:rPr>
          <w:rFonts w:ascii="Tinos" w:hAnsi="Tinos" w:eastAsia="Tinos" w:cs="Tinos"/>
          <w:sz w:val="22"/>
          <w:szCs w:val="22"/>
        </w:rPr>
        <w:t xml:space="preserve">вии с постановлением Правительства Российской Федерации от 01.07.2021 № 1108 «Об утверждении Положения о национальной системе прослеживаемости товаров», Поставщик обязан предоставить Покупателю счет-фактуру с заполнением реквизитов прослеживаемости Товара.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  <w:tab w:val="left" w:pos="16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</w:t>
      </w:r>
      <w:r>
        <w:rPr>
          <w:rFonts w:ascii="Tinos" w:hAnsi="Tinos" w:eastAsia="Tinos" w:cs="Tinos"/>
        </w:rPr>
        <w:t xml:space="preserve">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2340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В случае если приемка Товара осуществляется в отсутствие представителя </w:t>
      </w:r>
      <w:r>
        <w:rPr>
          <w:rFonts w:ascii="Tinos" w:hAnsi="Tinos" w:eastAsia="Tinos" w:cs="Tinos"/>
        </w:rPr>
        <w:t xml:space="preserve">Поставщика, Покупатель обязан приостановить приемку и незамедлительно направи</w:t>
      </w:r>
      <w:r>
        <w:rPr>
          <w:rFonts w:ascii="Tinos" w:hAnsi="Tinos" w:eastAsia="Tinos" w:cs="Tinos"/>
        </w:rPr>
        <w:t xml:space="preserve">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</w:t>
      </w:r>
      <w:r>
        <w:rPr>
          <w:rFonts w:ascii="Tinos" w:hAnsi="Tinos" w:eastAsia="Tinos" w:cs="Tinos"/>
        </w:rPr>
        <w:t xml:space="preserve">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23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8.7. В случаях, когда повреждения упаковки или недоста</w:t>
      </w:r>
      <w:r>
        <w:rPr>
          <w:rFonts w:ascii="Tinos" w:hAnsi="Tinos" w:eastAsia="Tinos" w:cs="Tinos"/>
        </w:rPr>
        <w:t xml:space="preserve">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60 (шестидесяти) рабочих дней с даты подписания Товарной накладной (ТОРГ-12) либо УПД. В этом случае </w:t>
      </w:r>
      <w:r>
        <w:rPr>
          <w:rFonts w:ascii="Tinos" w:hAnsi="Tinos" w:eastAsia="Tinos" w:cs="Tinos"/>
          <w:spacing w:val="-4"/>
        </w:rPr>
        <w:t xml:space="preserve">Поставщик обязан устранить выявленные нарушения в сроки, указанные в п. 8.9</w:t>
      </w:r>
      <w:r>
        <w:rPr>
          <w:rFonts w:ascii="Tinos" w:hAnsi="Tinos" w:eastAsia="Tinos" w:cs="Tinos"/>
        </w:rPr>
        <w:t xml:space="preserve">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8.8. Покупатель вправе принять Товар без проведения п</w:t>
      </w:r>
      <w:r>
        <w:rPr>
          <w:rFonts w:ascii="Tinos" w:hAnsi="Tinos" w:eastAsia="Tinos" w:cs="Tinos"/>
        </w:rPr>
        <w:t xml:space="preserve">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(шестидесяти) рабочих дней при осуществлении входного контрол</w:t>
      </w:r>
      <w:r>
        <w:rPr>
          <w:rFonts w:ascii="Tinos" w:hAnsi="Tinos" w:eastAsia="Tinos" w:cs="Tinos"/>
        </w:rPr>
        <w:t xml:space="preserve">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8.9. В случае несоответствия поставленного Товара условиям Договора по комплектности, количеству и/или качеству, упаковке, Поставщик обязан за свой счет по требованию Покупат</w:t>
      </w:r>
      <w:r>
        <w:rPr>
          <w:rFonts w:ascii="Tinos" w:hAnsi="Tinos" w:eastAsia="Tinos" w:cs="Tinos"/>
        </w:rPr>
        <w:t xml:space="preserve">еля и в согласованный с ним срок, но не позднее 20 (двадцати)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10.8 Договора. </w:t>
      </w:r>
      <w:r>
        <w:rPr>
          <w:rFonts w:ascii="Tinos" w:hAnsi="Tinos" w:eastAsia="Tinos" w:cs="Tinos"/>
        </w:rPr>
        <w:t xml:space="preserve">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8.10. Покупатель вправе отказаться от Товара, поставленного с нарушением</w:t>
      </w:r>
      <w:r>
        <w:rPr>
          <w:rFonts w:ascii="Tinos" w:hAnsi="Tinos" w:eastAsia="Tinos" w:cs="Tinos"/>
        </w:rPr>
        <w:t xml:space="preserve"> номенклатуры, комплектности, количества и/или качества, упак</w:t>
      </w:r>
      <w:r>
        <w:rPr>
          <w:rFonts w:ascii="Tinos" w:hAnsi="Tinos" w:eastAsia="Tinos" w:cs="Tinos"/>
        </w:rPr>
        <w:t xml:space="preserve">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rFonts w:ascii="Tinos" w:hAnsi="Tinos" w:eastAsia="Tinos" w:cs="Tinos"/>
          <w:spacing w:val="-4"/>
        </w:rPr>
        <w:t xml:space="preserve">об этом от Покупателя. В случае невыполнения этого условия Покупатель вправе</w:t>
      </w:r>
      <w:r>
        <w:rPr>
          <w:rFonts w:ascii="Tinos" w:hAnsi="Tinos" w:eastAsia="Tinos" w:cs="Tinos"/>
        </w:rPr>
        <w:t xml:space="preserve"> распорядиться Товаром согласно ст. 514 ГК РФ.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 </w:t>
      </w:r>
      <w:r>
        <w:rPr>
          <w:rFonts w:ascii="Tinos" w:hAnsi="Tinos" w:cs="Tinos"/>
        </w:rPr>
      </w:r>
    </w:p>
    <w:p>
      <w:pPr>
        <w:ind w:right="708"/>
        <w:jc w:val="center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9. Переход права собственности на Товар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9.1. Право собственности на Товар переходит к Покупателю после фактической передачи Товара Покупателю по Товарной накладной либо УПД.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9.2. Риски случайной гибели или случайного повреждения Товара несет Поставщик до подписания Товарной накладной либо УПД.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9.3.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  <w:r>
        <w:rPr>
          <w:rFonts w:ascii="Tinos" w:hAnsi="Tinos" w:cs="Tinos"/>
        </w:rPr>
      </w:r>
    </w:p>
    <w:p>
      <w:pPr>
        <w:ind w:right="1133"/>
        <w:jc w:val="center"/>
        <w:spacing w:after="0" w:line="17" w:lineRule="atLeast"/>
        <w:widowControl w:val="off"/>
        <w:tabs>
          <w:tab w:val="left" w:pos="426" w:leader="none"/>
          <w:tab w:val="num" w:pos="1843" w:leader="none"/>
          <w:tab w:val="num" w:pos="2345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</w:rPr>
        <w:t xml:space="preserve">10. </w:t>
      </w:r>
      <w:r>
        <w:rPr>
          <w:rFonts w:ascii="Tinos" w:hAnsi="Tinos" w:eastAsia="Tinos" w:cs="Tinos"/>
          <w:b/>
          <w:bCs/>
        </w:rPr>
        <w:t xml:space="preserve">Гарантии качества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характеристик (Приложение № 2 к Договору). Поставщик </w:t>
      </w:r>
      <w:r>
        <w:rPr>
          <w:rFonts w:ascii="Tinos" w:hAnsi="Tinos" w:eastAsia="Tinos" w:cs="Tinos"/>
          <w:spacing w:val="-4"/>
        </w:rPr>
        <w:t xml:space="preserve">гарантирует соответствие качества Товара требованиям Договора, </w:t>
      </w:r>
      <w:r>
        <w:rPr>
          <w:rFonts w:ascii="Tinos" w:hAnsi="Tinos" w:eastAsia="Tinos" w:cs="Tinos"/>
        </w:rPr>
        <w:t xml:space="preserve">требованиям ГОСТов, технических регламентов, национальных стандартов. Поставляемая Продукция должна быть изготовлена в год поставки или предшествующий ему и быть ранее не использованной.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26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spacing w:val="-4"/>
        </w:rPr>
        <w:t xml:space="preserve">10.2. Покупатель обязан оперативно уведомить Поставщика в письменной</w:t>
      </w:r>
      <w:r>
        <w:rPr>
          <w:rFonts w:ascii="Tinos" w:hAnsi="Tinos" w:eastAsia="Tinos" w:cs="Tinos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nos" w:hAnsi="Tinos" w:eastAsia="Tinos" w:cs="Tinos"/>
          <w:bCs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>
        <w:rPr>
          <w:rFonts w:ascii="Tinos" w:hAnsi="Tinos" w:eastAsia="Tinos" w:cs="Tinos"/>
        </w:rPr>
        <w:t xml:space="preserve">20 (двадцати)</w:t>
      </w:r>
      <w:r>
        <w:rPr>
          <w:rFonts w:ascii="Tinos" w:hAnsi="Tinos" w:eastAsia="Tinos" w:cs="Tinos"/>
          <w:bCs/>
        </w:rPr>
        <w:t xml:space="preserve"> дней.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10.3. Если Поставщик, получ</w:t>
      </w:r>
      <w:r>
        <w:rPr>
          <w:rFonts w:ascii="Tinos" w:hAnsi="Tinos" w:eastAsia="Tinos" w:cs="Tinos"/>
        </w:rPr>
        <w:t xml:space="preserve">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567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10.4. Гарантийный срок на Товар устанавливаются в Технических характеристиках и требованиях (приложение № 2 к Договору) и технической документации на Товар (в том числе, в гарантии изготовителя).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Срок гарантии на поставляемые материалы должен быть не менее 5 (пяти) лет. Время начала исчисления гарантийного срока – с момента ввода оборудования и материалов в эксплуатацию.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10.5. Поставщик обязан за свой счет ус</w:t>
      </w:r>
      <w:r>
        <w:rPr>
          <w:rFonts w:ascii="Tinos" w:hAnsi="Tinos" w:eastAsia="Tinos" w:cs="Tinos"/>
        </w:rPr>
        <w:t xml:space="preserve">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20 (двадцати) дней с даты получения письменного уведомления Покупателя.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10.7. По выбору Покупателя вместо устранения недостатков по требованию Покупателя Поста</w:t>
      </w:r>
      <w:r>
        <w:rPr>
          <w:rFonts w:ascii="Tinos" w:hAnsi="Tinos" w:eastAsia="Tinos" w:cs="Tinos"/>
        </w:rPr>
        <w:t xml:space="preserve">вщик обязан вернуть Покупателю уплаченные за Товар денежные средства в течение 20 (двадцати) рабочих дней со дня предъявления Покупателем соответствующего требования. Указанное право возникает у Покупателя при обнаружении в товаре существенных недостатков.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10.8. Истечение срока и/или досрочное расторжение (отказ от исполнения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spacing w:val="-4"/>
        </w:rPr>
        <w:t xml:space="preserve">и/или прекращение по иным основаниям) Договора не затрагивает обязательства</w:t>
      </w:r>
      <w:r>
        <w:rPr>
          <w:rFonts w:ascii="Tinos" w:hAnsi="Tinos" w:eastAsia="Tinos" w:cs="Tinos"/>
        </w:rPr>
        <w:t xml:space="preserve"> Поставщика, предусмотренные разделом 10 Договора.</w:t>
      </w:r>
      <w:r>
        <w:rPr>
          <w:rFonts w:ascii="Tinos" w:hAnsi="Tinos" w:cs="Tinos"/>
        </w:rPr>
      </w:r>
    </w:p>
    <w:p>
      <w:pPr>
        <w:pStyle w:val="1388"/>
        <w:ind w:right="992"/>
        <w:jc w:val="center"/>
        <w:spacing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11. Антикоррупционная оговорка</w:t>
      </w:r>
      <w:r>
        <w:rPr>
          <w:rFonts w:ascii="Tinos" w:hAnsi="Tinos" w:cs="Tinos"/>
          <w:b/>
        </w:rPr>
      </w:r>
    </w:p>
    <w:p>
      <w:pPr>
        <w:pStyle w:val="1270"/>
        <w:numPr>
          <w:ilvl w:val="1"/>
          <w:numId w:val="52"/>
        </w:numPr>
        <w:ind w:left="0" w:firstLine="0"/>
        <w:jc w:val="both"/>
        <w:spacing w:line="17" w:lineRule="atLeast"/>
        <w:tabs>
          <w:tab w:val="left" w:pos="284" w:leader="none"/>
          <w:tab w:val="left" w:pos="425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9" w:tooltip="http://www.tuvaenergo.ru/buy/corruption.php" w:history="1">
        <w:r>
          <w:rPr>
            <w:rFonts w:ascii="Tinos" w:hAnsi="Tinos" w:eastAsia="Tinos" w:cs="Tinos"/>
            <w:color w:val="0000ff"/>
            <w:sz w:val="22"/>
            <w:szCs w:val="22"/>
            <w:u w:val="single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ind w:left="0"/>
        <w:jc w:val="both"/>
        <w:spacing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11.1 – 11.3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ind w:left="0"/>
        <w:jc w:val="both"/>
        <w:spacing w:line="17" w:lineRule="atLeast"/>
        <w:widowControl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</w:t>
      </w:r>
      <w:r>
        <w:rPr>
          <w:rFonts w:ascii="Tinos" w:hAnsi="Tinos" w:eastAsia="Tinos" w:cs="Tinos"/>
          <w:sz w:val="22"/>
          <w:szCs w:val="22"/>
        </w:rPr>
        <w:t xml:space="preserve">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11.1, 11.2 Антикоррупционной оговорки, и обязательств воздержи</w:t>
      </w:r>
      <w:r>
        <w:rPr>
          <w:rFonts w:ascii="Tinos" w:hAnsi="Tinos" w:eastAsia="Tinos" w:cs="Tinos"/>
          <w:sz w:val="22"/>
          <w:szCs w:val="22"/>
        </w:rPr>
        <w:t xml:space="preserve">ваться от запрещенных в пункте 11.3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</w:p>
    <w:p>
      <w:pPr>
        <w:ind w:right="850"/>
        <w:jc w:val="center"/>
        <w:spacing w:after="0" w:line="17" w:lineRule="atLeast"/>
        <w:shd w:val="clear" w:color="auto" w:fill="ffffff"/>
        <w:widowControl w:val="off"/>
        <w:tabs>
          <w:tab w:val="left" w:pos="284" w:leader="none"/>
          <w:tab w:val="left" w:pos="426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12. Соблюдение требований к заключению Договора. Гарантии и заверения. Конфиденциальность.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12.1. Поставщик гарантирует, что: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его исполнительный орган находится и осуществляет функции управления</w:t>
      </w:r>
      <w:r>
        <w:rPr>
          <w:rFonts w:ascii="Tinos" w:hAnsi="Tinos" w:eastAsia="Tinos" w:cs="Tinos"/>
          <w:sz w:val="22"/>
          <w:szCs w:val="22"/>
        </w:rPr>
        <w:t xml:space="preserve">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персоналом, имуществом и материальными р</w:t>
      </w:r>
      <w:r>
        <w:rPr>
          <w:rFonts w:ascii="Tinos" w:hAnsi="Tinos" w:eastAsia="Tinos" w:cs="Tinos"/>
          <w:sz w:val="22"/>
          <w:szCs w:val="22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располагает лицензиями, необходимыми для осуществления деятельности</w:t>
      </w:r>
      <w:r>
        <w:rPr>
          <w:rFonts w:ascii="Tinos" w:hAnsi="Tinos" w:eastAsia="Tinos" w:cs="Tinos"/>
          <w:sz w:val="22"/>
          <w:szCs w:val="22"/>
        </w:rPr>
        <w:t xml:space="preserve"> и исполнения обязательств по Договору, если осуществляемая деятельность является лицензируемой;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</w:t>
      </w:r>
      <w:r>
        <w:rPr>
          <w:rFonts w:ascii="Tinos" w:hAnsi="Tinos" w:eastAsia="Tinos" w:cs="Tinos"/>
          <w:sz w:val="22"/>
          <w:szCs w:val="22"/>
        </w:rPr>
        <w:t xml:space="preserve">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в бухгалтерской и налоговой отчетности факты хозяйственной жизни выборочно,</w:t>
      </w:r>
      <w:r>
        <w:rPr>
          <w:rFonts w:ascii="Tinos" w:hAnsi="Tinos" w:eastAsia="Tinos" w:cs="Tinos"/>
          <w:sz w:val="22"/>
          <w:szCs w:val="22"/>
        </w:rPr>
        <w:t xml:space="preserve">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left" w:pos="720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left" w:pos="720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720" w:leader="none"/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12.2. Если Поставщик нарушит гарантии (любую одну, несколько или все вместе), указанные в п. 12.1 Договора, и это повлечет: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57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7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</w:t>
      </w:r>
      <w:r>
        <w:rPr>
          <w:rFonts w:ascii="Tinos" w:hAnsi="Tinos" w:eastAsia="Tinos" w:cs="Tinos"/>
          <w:sz w:val="22"/>
          <w:szCs w:val="22"/>
        </w:rPr>
        <w:t xml:space="preserve">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</w:t>
      </w:r>
      <w:r>
        <w:rPr>
          <w:rFonts w:ascii="Tinos" w:hAnsi="Tinos" w:eastAsia="Tinos" w:cs="Tinos"/>
          <w:sz w:val="22"/>
          <w:szCs w:val="22"/>
        </w:rPr>
        <w:t xml:space="preserve">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12.3. Поставщик в соответствии со ст. 406.1 ГК РФ возмещает Покупателю все потери последнего, возникшие в случаях, указанных в п. 12.2 Договора. При этом</w:t>
      </w:r>
      <w:r>
        <w:rPr>
          <w:rFonts w:ascii="Tinos" w:hAnsi="Tinos" w:eastAsia="Tinos" w:cs="Tinos"/>
        </w:rPr>
        <w:t xml:space="preserve">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  <w:spacing w:val="1"/>
        </w:rPr>
      </w:pPr>
      <w:r>
        <w:rPr>
          <w:rFonts w:ascii="Tinos" w:hAnsi="Tinos" w:eastAsia="Tinos" w:cs="Tinos"/>
          <w:spacing w:val="1"/>
        </w:rPr>
        <w:t xml:space="preserve">12.4. Поставщик заверяет Покупателя и гарантирует ему, что:</w:t>
      </w:r>
      <w:r>
        <w:rPr>
          <w:rFonts w:ascii="Tinos" w:hAnsi="Tinos" w:cs="Tinos"/>
          <w:spacing w:val="1"/>
        </w:rPr>
      </w:r>
    </w:p>
    <w:p>
      <w:pPr>
        <w:pStyle w:val="1270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1241" w:leader="none"/>
        </w:tabs>
        <w:rPr>
          <w:rFonts w:ascii="Tinos" w:hAnsi="Tinos" w:cs="Tinos"/>
          <w:spacing w:val="1"/>
          <w:sz w:val="22"/>
          <w:szCs w:val="22"/>
        </w:rPr>
      </w:pPr>
      <w:r>
        <w:rPr>
          <w:rFonts w:ascii="Tinos" w:hAnsi="Tinos" w:eastAsia="Tinos" w:cs="Tinos"/>
          <w:spacing w:val="1"/>
          <w:sz w:val="22"/>
          <w:szCs w:val="22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ascii="Tinos" w:hAnsi="Tinos" w:cs="Tinos"/>
          <w:spacing w:val="1"/>
          <w:sz w:val="22"/>
          <w:szCs w:val="22"/>
        </w:rPr>
      </w:r>
    </w:p>
    <w:p>
      <w:pPr>
        <w:pStyle w:val="1270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1241" w:leader="none"/>
        </w:tabs>
        <w:rPr>
          <w:rFonts w:ascii="Tinos" w:hAnsi="Tinos" w:cs="Tinos"/>
          <w:spacing w:val="1"/>
          <w:sz w:val="22"/>
          <w:szCs w:val="22"/>
        </w:rPr>
      </w:pPr>
      <w:r>
        <w:rPr>
          <w:rFonts w:ascii="Tinos" w:hAnsi="Tinos" w:eastAsia="Tinos" w:cs="Tinos"/>
          <w:spacing w:val="1"/>
          <w:sz w:val="22"/>
          <w:szCs w:val="22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nos" w:hAnsi="Tinos" w:eastAsia="Tinos" w:cs="Tinos"/>
          <w:spacing w:val="4"/>
          <w:sz w:val="22"/>
          <w:szCs w:val="22"/>
        </w:rPr>
        <w:t xml:space="preserve"> органов управления </w:t>
      </w:r>
      <w:r>
        <w:rPr>
          <w:rFonts w:ascii="Tinos" w:hAnsi="Tinos" w:eastAsia="Tinos" w:cs="Tinos"/>
          <w:spacing w:val="1"/>
          <w:sz w:val="22"/>
          <w:szCs w:val="22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nos" w:hAnsi="Tinos" w:eastAsia="Tinos" w:cs="Tinos"/>
          <w:sz w:val="22"/>
          <w:szCs w:val="22"/>
        </w:rPr>
        <w:t xml:space="preserve">внутренних документов и решений органов управления;</w:t>
      </w:r>
      <w:r>
        <w:rPr>
          <w:rFonts w:ascii="Tinos" w:hAnsi="Tinos" w:cs="Tinos"/>
          <w:spacing w:val="1"/>
          <w:sz w:val="22"/>
          <w:szCs w:val="22"/>
        </w:rPr>
      </w:r>
    </w:p>
    <w:p>
      <w:pPr>
        <w:pStyle w:val="1270"/>
        <w:numPr>
          <w:ilvl w:val="0"/>
          <w:numId w:val="58"/>
        </w:numPr>
        <w:ind w:left="0" w:firstLine="0"/>
        <w:jc w:val="both"/>
        <w:spacing w:line="17" w:lineRule="atLeast"/>
        <w:tabs>
          <w:tab w:val="left" w:pos="283" w:leader="none"/>
          <w:tab w:val="left" w:pos="1241" w:leader="none"/>
        </w:tabs>
        <w:rPr>
          <w:rFonts w:ascii="Tinos" w:hAnsi="Tinos" w:cs="Tinos"/>
          <w:spacing w:val="-1"/>
          <w:sz w:val="22"/>
          <w:szCs w:val="22"/>
        </w:rPr>
      </w:pPr>
      <w:r>
        <w:rPr>
          <w:rFonts w:ascii="Tinos" w:hAnsi="Tinos" w:eastAsia="Tinos" w:cs="Tinos"/>
          <w:spacing w:val="1"/>
          <w:sz w:val="22"/>
          <w:szCs w:val="22"/>
        </w:rPr>
        <w:t xml:space="preserve">если в период действия Договора в полномочиях органов/представителей Поставщика</w:t>
      </w:r>
      <w:r>
        <w:rPr>
          <w:rFonts w:ascii="Tinos" w:hAnsi="Tinos" w:eastAsia="Tinos" w:cs="Tinos"/>
          <w:spacing w:val="3"/>
          <w:sz w:val="22"/>
          <w:szCs w:val="22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nos" w:hAnsi="Tinos" w:eastAsia="Tinos" w:cs="Tinos"/>
          <w:spacing w:val="1"/>
          <w:sz w:val="22"/>
          <w:szCs w:val="22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nos" w:hAnsi="Tinos" w:eastAsia="Tinos" w:cs="Tinos"/>
          <w:spacing w:val="-1"/>
          <w:sz w:val="22"/>
          <w:szCs w:val="22"/>
        </w:rPr>
        <w:t xml:space="preserve">подтверждения. Е</w:t>
      </w:r>
      <w:r>
        <w:rPr>
          <w:rFonts w:ascii="Tinos" w:hAnsi="Tinos" w:eastAsia="Tinos" w:cs="Tinos"/>
          <w:spacing w:val="6"/>
          <w:sz w:val="22"/>
          <w:szCs w:val="22"/>
        </w:rPr>
        <w:t xml:space="preserve">сли в связи с вышеуказанными </w:t>
      </w:r>
      <w:r>
        <w:rPr>
          <w:rFonts w:ascii="Tinos" w:hAnsi="Tinos" w:eastAsia="Tinos" w:cs="Tinos"/>
          <w:sz w:val="22"/>
          <w:szCs w:val="22"/>
        </w:rPr>
        <w:t xml:space="preserve">изменениями потребуется разрешение и/или одобрение органов управления </w:t>
      </w:r>
      <w:r>
        <w:rPr>
          <w:rFonts w:ascii="Tinos" w:hAnsi="Tinos" w:eastAsia="Tinos" w:cs="Tinos"/>
          <w:spacing w:val="1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nos" w:hAnsi="Tinos" w:eastAsia="Tinos" w:cs="Tinos"/>
          <w:spacing w:val="1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pacing w:val="-1"/>
          <w:sz w:val="22"/>
          <w:szCs w:val="22"/>
        </w:rPr>
        <w:t xml:space="preserve"> </w:t>
      </w:r>
      <w:r>
        <w:rPr>
          <w:rFonts w:ascii="Tinos" w:hAnsi="Tinos" w:cs="Tinos"/>
          <w:spacing w:val="-1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1241" w:leader="none"/>
        </w:tabs>
        <w:rPr>
          <w:rFonts w:ascii="Tinos" w:hAnsi="Tinos" w:cs="Tinos"/>
          <w:spacing w:val="-1"/>
        </w:rPr>
      </w:pPr>
      <w:r>
        <w:rPr>
          <w:rFonts w:ascii="Tinos" w:hAnsi="Tinos" w:eastAsia="Tinos" w:cs="Tinos"/>
          <w:spacing w:val="-1"/>
        </w:rPr>
        <w:t xml:space="preserve">Указанные заверения являются существенными для Покупателя</w:t>
      </w:r>
      <w:r>
        <w:rPr>
          <w:rFonts w:ascii="Tinos" w:hAnsi="Tinos" w:cs="Tinos"/>
          <w:spacing w:val="-1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1241" w:leader="none"/>
        </w:tabs>
        <w:rPr>
          <w:rFonts w:ascii="Tinos" w:hAnsi="Tinos" w:cs="Tinos"/>
          <w:spacing w:val="-1"/>
        </w:rPr>
      </w:pPr>
      <w:r>
        <w:rPr>
          <w:rFonts w:ascii="Tinos" w:hAnsi="Tinos" w:eastAsia="Tinos" w:cs="Tinos"/>
          <w:spacing w:val="-1"/>
        </w:rPr>
        <w:t xml:space="preserve"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</w:t>
      </w:r>
      <w:r>
        <w:rPr>
          <w:rFonts w:ascii="Tinos" w:hAnsi="Tinos" w:eastAsia="Tinos" w:cs="Tinos"/>
          <w:spacing w:val="-1"/>
        </w:rPr>
        <w:t xml:space="preserve">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rFonts w:ascii="Tinos" w:hAnsi="Tinos" w:eastAsia="Tinos" w:cs="Tinos"/>
          <w:spacing w:val="-1"/>
        </w:rPr>
        <w:t xml:space="preserve">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  <w:r>
        <w:rPr>
          <w:rFonts w:ascii="Tinos" w:hAnsi="Tinos" w:cs="Tinos"/>
          <w:spacing w:val="-1"/>
        </w:rPr>
      </w:r>
    </w:p>
    <w:p>
      <w:pPr>
        <w:jc w:val="both"/>
        <w:spacing w:after="0" w:line="17" w:lineRule="atLeast"/>
        <w:widowControl w:val="off"/>
        <w:tabs>
          <w:tab w:val="left" w:pos="1200" w:leader="none"/>
          <w:tab w:val="num" w:pos="1778" w:leader="none"/>
        </w:tabs>
        <w:rPr>
          <w:rFonts w:ascii="Tinos" w:hAnsi="Tinos" w:cs="Tinos"/>
          <w:i/>
          <w:iCs/>
        </w:rPr>
      </w:pPr>
      <w:r>
        <w:rPr>
          <w:rFonts w:ascii="Tinos" w:hAnsi="Tinos" w:eastAsia="Tinos" w:cs="Tinos"/>
          <w:bCs/>
        </w:rPr>
        <w:t xml:space="preserve">12.6. </w:t>
      </w:r>
      <w:r>
        <w:rPr>
          <w:rFonts w:ascii="Tinos" w:hAnsi="Tinos" w:eastAsia="Tinos" w:cs="Tinos"/>
        </w:rPr>
        <w:t xml:space="preserve">Поставщик гарантирует, что Товар находится в его собственности и поставка Товара в соответствии с Договоро</w:t>
      </w:r>
      <w:r>
        <w:rPr>
          <w:rFonts w:ascii="Tinos" w:hAnsi="Tinos" w:eastAsia="Tinos" w:cs="Tinos"/>
        </w:rPr>
        <w:t xml:space="preserve">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</w:t>
      </w:r>
      <w:r>
        <w:rPr>
          <w:rFonts w:ascii="Tinos" w:hAnsi="Tinos" w:eastAsia="Tinos" w:cs="Tinos"/>
        </w:rPr>
        <w:t xml:space="preserve">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  <w:r>
        <w:rPr>
          <w:rFonts w:ascii="Tinos" w:hAnsi="Tinos" w:cs="Tinos"/>
          <w:i/>
          <w:i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Поставщик гар</w:t>
      </w:r>
      <w:r>
        <w:rPr>
          <w:rFonts w:ascii="Tinos" w:hAnsi="Tinos" w:eastAsia="Tinos" w:cs="Tinos"/>
          <w:bCs/>
        </w:rPr>
        <w:t xml:space="preserve">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nos" w:hAnsi="Tinos" w:eastAsia="Tinos" w:cs="Tinos"/>
          <w:spacing w:val="-4"/>
        </w:rPr>
        <w:t xml:space="preserve">владения и распоряжения Товаром, его использования Покупателем, и возместить</w:t>
      </w:r>
      <w:r>
        <w:rPr>
          <w:rFonts w:ascii="Tinos" w:hAnsi="Tinos" w:eastAsia="Tinos" w:cs="Tinos"/>
        </w:rPr>
        <w:t xml:space="preserve"> Покупателю убытки, понесенные в связи с указанными нарушениями.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</w:t>
      </w:r>
      <w:r>
        <w:rPr>
          <w:rFonts w:ascii="Tinos" w:hAnsi="Tinos" w:eastAsia="Tinos" w:cs="Tinos"/>
        </w:rPr>
        <w:t xml:space="preserve">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</w:t>
      </w:r>
      <w:r>
        <w:rPr>
          <w:rFonts w:ascii="Tinos" w:hAnsi="Tinos" w:eastAsia="Tinos" w:cs="Tinos"/>
        </w:rPr>
        <w:t xml:space="preserve">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12.8.</w:t>
      </w:r>
      <w:r>
        <w:rPr>
          <w:rFonts w:ascii="Tinos" w:hAnsi="Tinos" w:eastAsia="Tinos" w:cs="Tinos"/>
        </w:rPr>
        <w:t xml:space="preserve"> Покупатель оставляет за собой право по своему усмотрению проводить проверку деятельности Поставщика, его документов </w:t>
      </w:r>
      <w:r>
        <w:rPr>
          <w:rFonts w:ascii="Tinos" w:hAnsi="Tinos" w:eastAsia="Tinos" w:cs="Tinos"/>
        </w:rPr>
        <w:t xml:space="preserve">и записей в связи с исполнением Договора. Покупатель обязуется предоставить письменное уведомление о такой проверке не позднее 20 (двадцати) рабочих дней с даты предполагаемой проверки и может проводить ее самостоятельно или с привлечением третьей стороны.</w:t>
      </w:r>
      <w:r>
        <w:rPr>
          <w:rFonts w:ascii="Tinos" w:hAnsi="Tinos" w:cs="Tinos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подтвердить получение указанного уведомления </w:t>
      </w:r>
      <w:r>
        <w:rPr>
          <w:rFonts w:ascii="Tinos" w:hAnsi="Tinos" w:eastAsia="Tinos" w:cs="Tinos"/>
        </w:rPr>
        <w:br/>
        <w:t xml:space="preserve">от Покупателя не позднее 5 (пяти) рабочих дней с даты получения уведомления </w:t>
      </w:r>
      <w:r>
        <w:rPr>
          <w:rFonts w:ascii="Tinos" w:hAnsi="Tinos" w:eastAsia="Tinos" w:cs="Tinos"/>
        </w:rPr>
        <w:br/>
        <w:t xml:space="preserve">и подтвердить дату проведения проверки в течение 10 (десяти)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rFonts w:ascii="Tinos" w:hAnsi="Tinos" w:cs="Tinos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в результате проверки выявят</w:t>
      </w:r>
      <w:r>
        <w:rPr>
          <w:rFonts w:ascii="Tinos" w:hAnsi="Tinos" w:eastAsia="Tinos" w:cs="Tinos"/>
        </w:rPr>
        <w:t xml:space="preserve">ся случаи несоблюдения Поставщиком предоставленных им гарантий и заверений, Поставщик обязан не позднее 10 (десяти)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nos" w:hAnsi="Tinos" w:eastAsia="Tinos" w:cs="Tinos"/>
          <w:spacing w:val="-4"/>
        </w:rPr>
        <w:t xml:space="preserve">форме. Меры по устранению несоответствий должны приниматься Поставщиком</w:t>
      </w:r>
      <w:r>
        <w:rPr>
          <w:rFonts w:ascii="Tinos" w:hAnsi="Tinos" w:eastAsia="Tinos" w:cs="Tinos"/>
        </w:rPr>
        <w:t xml:space="preserve"> за свой счет.</w:t>
      </w:r>
      <w:r>
        <w:rPr>
          <w:rFonts w:ascii="Tinos" w:hAnsi="Tinos" w:cs="Tinos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если Поставщик отказывается от проведения проверки либо </w:t>
      </w:r>
      <w:r>
        <w:rPr>
          <w:rFonts w:ascii="Tinos" w:hAnsi="Tinos" w:eastAsia="Tinos" w:cs="Tinos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nos" w:hAnsi="Tinos" w:eastAsia="Tinos" w:cs="Tinos"/>
          <w:spacing w:val="-4"/>
        </w:rPr>
        <w:t xml:space="preserve">невозможно устранить, то Покупатель оставляет за собой право в одностороннем</w:t>
      </w:r>
      <w:r>
        <w:rPr>
          <w:rFonts w:ascii="Tinos" w:hAnsi="Tinos" w:eastAsia="Tinos" w:cs="Tinos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spacing w:val="-1"/>
        </w:rPr>
      </w:pPr>
      <w:r>
        <w:rPr>
          <w:rFonts w:ascii="Tinos" w:hAnsi="Tinos" w:eastAsia="Tinos" w:cs="Tinos"/>
          <w:bCs/>
        </w:rPr>
        <w:t xml:space="preserve"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  <w:r>
        <w:rPr>
          <w:rFonts w:ascii="Tinos" w:hAnsi="Tinos" w:eastAsia="Tinos" w:cs="Tinos"/>
          <w:spacing w:val="-1"/>
        </w:rPr>
        <w:tab/>
      </w:r>
      <w:r>
        <w:rPr>
          <w:rFonts w:ascii="Tinos" w:hAnsi="Tinos" w:cs="Tinos"/>
          <w:spacing w:val="-1"/>
        </w:rPr>
      </w:r>
    </w:p>
    <w:p>
      <w:pPr>
        <w:ind w:right="1133"/>
        <w:jc w:val="center"/>
        <w:spacing w:after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13. Ответственность сторон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tabs>
          <w:tab w:val="left" w:pos="1134" w:leader="none"/>
          <w:tab w:val="left" w:pos="1260" w:leader="none"/>
          <w:tab w:val="num" w:pos="1495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13.1. При нарушении Поставщиком договорных обязательств Покупатель вправе потребовать от Поставщика: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13.1.1. При несвоевременном выполнении обязательств по поставке</w:t>
      </w:r>
      <w:r>
        <w:rPr>
          <w:rFonts w:ascii="Tinos" w:hAnsi="Tinos" w:eastAsia="Tinos" w:cs="Tinos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</w:t>
      </w:r>
      <w:r>
        <w:rPr>
          <w:rFonts w:ascii="Tinos" w:hAnsi="Tinos" w:eastAsia="Tinos" w:cs="Tinos"/>
        </w:rPr>
        <w:t xml:space="preserve">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nos" w:hAnsi="Tinos" w:eastAsia="Tinos" w:cs="Tinos"/>
          <w:spacing w:val="-2"/>
        </w:rPr>
        <w:t xml:space="preserve">запасных частей к Товару).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13.1.2. За нарушение обязанности, предусмотренной п. 5.1.1 Договора, - неустойку в размере 1 % от суммы, являющейся предметом уступки, перевода долга, иной передачи третьему лицу соответственно.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  <w:highlight w:val="white"/>
        </w:rPr>
      </w:pPr>
      <w:r>
        <w:rPr>
          <w:rFonts w:ascii="Tinos" w:hAnsi="Tinos" w:cs="Tinos"/>
          <w:bCs/>
          <w:highlight w:val="white"/>
        </w:rPr>
        <w:t xml:space="preserve">13.1.3. </w:t>
      </w:r>
      <w:r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За неисполнение и/или несвоевременное исполнение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7 к Договору, - неустойку в размере 0,01%</w:t>
      </w:r>
      <w:r>
        <w:rPr>
          <w:rStyle w:val="1288"/>
          <w:rFonts w:ascii="Times New Roman" w:hAnsi="Times New Roman" w:cs="Times New Roman"/>
          <w:sz w:val="24"/>
          <w:szCs w:val="24"/>
          <w:highlight w:val="white"/>
        </w:rPr>
        <w:footnoteReference w:id="7"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 цены Договора за каждый день просрочки исполнения Поставщиком своих обязательств</w:t>
      </w:r>
      <w:r>
        <w:rPr>
          <w:rFonts w:ascii="Tinos" w:hAnsi="Tinos" w:cs="Tinos"/>
          <w:bCs/>
          <w:highlight w:val="white"/>
        </w:rPr>
        <w:t xml:space="preserve">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13.1.4. За несоблюдение процедуры, предусмотренной п. 5.2.1 Договора, - неустойку в размере 1 % от суммы, являющейся предметом уступки (факторинга).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13.1.5. За непредставление/нарушение сроков представления заключения аттестационной комиссии на Товар </w:t>
      </w:r>
      <w:r>
        <w:rPr>
          <w:rFonts w:ascii="Tinos" w:hAnsi="Tinos" w:eastAsia="Tinos" w:cs="Tinos"/>
          <w:bCs/>
          <w:spacing w:val="-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nos" w:hAnsi="Tinos" w:eastAsia="Tinos" w:cs="Tinos"/>
          <w:bCs/>
        </w:rPr>
        <w:t xml:space="preserve">или непредставление/нарушение сроков представления документов, предусмотренных п.п. 7.2.1-7.2.5 Договора, - неустойку в размере 0,2%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bCs/>
        </w:rPr>
        <w:t xml:space="preserve"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13.1.6.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nos" w:hAnsi="Tinos" w:eastAsia="Tinos" w:cs="Tinos"/>
          <w:spacing w:val="-4"/>
        </w:rPr>
        <w:t xml:space="preserve">нарушенного обязательства по Договору. Срок уплаты неустойки за неисполнение</w:t>
      </w:r>
      <w:r>
        <w:rPr>
          <w:rFonts w:ascii="Tinos" w:hAnsi="Tinos" w:eastAsia="Tinos" w:cs="Tinos"/>
        </w:rPr>
        <w:t xml:space="preserve"> обязательств по Договору - в течение 20 (двадцати) дней со дня получения претензии.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13.4. В случае просрочки оплаты принятого Товара Покупатель по требованию Пост</w:t>
      </w:r>
      <w:r>
        <w:rPr>
          <w:rFonts w:ascii="Tinos" w:hAnsi="Tinos" w:eastAsia="Tinos" w:cs="Tinos"/>
        </w:rPr>
        <w:t xml:space="preserve">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Товара, но не более 5% от цены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13.6.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eastAsia="Tinos" w:cs="Tinos"/>
          <w:vertAlign w:val="superscript"/>
        </w:rPr>
        <w:footnoteReference w:id="8"/>
      </w:r>
      <w:r>
        <w:rPr>
          <w:rFonts w:ascii="Tinos" w:hAnsi="Tinos" w:cs="Tinos"/>
        </w:rPr>
      </w:r>
    </w:p>
    <w:p>
      <w:pPr>
        <w:ind w:right="425"/>
        <w:jc w:val="center"/>
        <w:spacing w:after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14. Изменение, прекращение и расторжение Договора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14.1. Любые из</w:t>
      </w:r>
      <w:r>
        <w:rPr>
          <w:rFonts w:ascii="Tinos" w:hAnsi="Tinos" w:eastAsia="Tinos" w:cs="Tinos"/>
        </w:rPr>
        <w:t xml:space="preserve">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14.2. Договор может быть расторгнут по соглашению Сторон.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14.3. Покупатель вправе в одностороннем внесудебном порядке досрочно отказаться от исполнения Договора в одностороннем порядке в случаях: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непредставления информации, предусмотренной Договором, в том числе документов, подтверждающих страну происхождения Товара;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 Поставщика выполнять часть или весь объем поставок, предусмотренных Договором;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нарушения Поставщиком 2 и более раза сроков поставок Товара, предусмотренных Заявкой, более чем на 15 дней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несоблюдения Пост</w:t>
      </w:r>
      <w:r>
        <w:rPr>
          <w:rFonts w:ascii="Tinos" w:hAnsi="Tinos" w:eastAsia="Tinos" w:cs="Tinos"/>
          <w:sz w:val="22"/>
          <w:szCs w:val="22"/>
        </w:rPr>
        <w:t xml:space="preserve">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в отношении Поставщика принято судом заявление о признании Поставщика (несостоятельным) банкротом; </w:t>
      </w:r>
      <w:r>
        <w:rPr>
          <w:rFonts w:ascii="Tinos" w:hAnsi="Tinos" w:cs="Tinos"/>
          <w:sz w:val="22"/>
          <w:szCs w:val="22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неисполнения Поставщиком обязательств по предоставлению финансового обеспечения в соответствии с требованиями Приложения 7 к Договору</w:t>
      </w:r>
      <w:r>
        <w:rPr>
          <w:rStyle w:val="1288"/>
          <w:rFonts w:ascii="Times New Roman" w:hAnsi="Times New Roman" w:cs="Times New Roman"/>
          <w:sz w:val="24"/>
          <w:szCs w:val="24"/>
          <w:highlight w:val="white"/>
        </w:rPr>
        <w:footnoteReference w:id="9"/>
      </w:r>
      <w:r>
        <w:rPr>
          <w:rFonts w:ascii="Tinos" w:hAnsi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270"/>
        <w:numPr>
          <w:ilvl w:val="0"/>
          <w:numId w:val="59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иных случаях, предусмотренных Договором и законодательством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72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14.4. Досрочное расторжение (о</w:t>
      </w:r>
      <w:r>
        <w:rPr>
          <w:rFonts w:ascii="Tinos" w:hAnsi="Tinos" w:eastAsia="Tinos" w:cs="Tinos"/>
        </w:rPr>
        <w:t xml:space="preserve">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72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этом Поставщик обязан продолжить выполнение Договора той части, в которой Покупатель не отказался от его исполнения.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spacing w:val="-4"/>
        </w:rPr>
        <w:t xml:space="preserve">Односторонний отказ Покупателя от исполнения Договора не освобождает</w:t>
      </w:r>
      <w:r>
        <w:rPr>
          <w:rFonts w:ascii="Tinos" w:hAnsi="Tinos" w:eastAsia="Tinos" w:cs="Tinos"/>
        </w:rPr>
        <w:t xml:space="preserve"> Поставщика от обязанности возместить убытки, связанные с нарушением обязательств по Договору.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14.5. В случае неисполнения Поставщиком обязанностей, установленных п. 5.1.2 Договора, Покупате</w:t>
      </w:r>
      <w:r>
        <w:rPr>
          <w:rFonts w:ascii="Tinos" w:hAnsi="Tinos" w:eastAsia="Tinos" w:cs="Tinos"/>
          <w:bCs/>
        </w:rPr>
        <w:t xml:space="preserve">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(пяти) дней с момента получения Поставщиком указанного письменного уведомления Покупателя.</w:t>
      </w:r>
      <w:r>
        <w:rPr>
          <w:rFonts w:ascii="Tinos" w:hAnsi="Tinos" w:eastAsia="Tinos" w:cs="Tinos"/>
        </w:rPr>
        <w:tab/>
      </w:r>
      <w:r>
        <w:rPr>
          <w:rFonts w:ascii="Tinos" w:hAnsi="Tinos" w:cs="Tinos"/>
          <w:bCs/>
        </w:rPr>
      </w:r>
    </w:p>
    <w:p>
      <w:pPr>
        <w:ind w:right="1133"/>
        <w:jc w:val="center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15. 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Сторона, ссылающа</w:t>
      </w:r>
      <w:r>
        <w:rPr>
          <w:rFonts w:ascii="Tinos" w:hAnsi="Tinos" w:eastAsia="Tinos" w:cs="Tinos"/>
          <w:bCs/>
        </w:rPr>
        <w:t xml:space="preserve">яся на обстоятельства непреодолимой силы, обязана в течение 5 (пяти)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</w:t>
      </w:r>
      <w:r>
        <w:rPr>
          <w:rFonts w:ascii="Tinos" w:hAnsi="Tinos" w:eastAsia="Tinos" w:cs="Tinos"/>
          <w:bCs/>
        </w:rPr>
        <w:t xml:space="preserve">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nos" w:hAnsi="Tinos" w:eastAsia="Tinos" w:cs="Tinos"/>
          <w:bCs/>
          <w:spacing w:val="-4"/>
        </w:rPr>
        <w:t xml:space="preserve">непреодолимой силы, а также (по возможности) оценку их влияния на исполнение</w:t>
      </w:r>
      <w:r>
        <w:rPr>
          <w:rFonts w:ascii="Tinos" w:hAnsi="Tinos" w:eastAsia="Tinos" w:cs="Tinos"/>
          <w:bCs/>
        </w:rPr>
        <w:t xml:space="preserve"> Стороной своих обязательств по Договору и на срок исполнения обязательств.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При прекращении действия таких обс</w:t>
      </w:r>
      <w:r>
        <w:rPr>
          <w:rFonts w:ascii="Tinos" w:hAnsi="Tinos" w:eastAsia="Tinos" w:cs="Tinos"/>
          <w:bCs/>
        </w:rPr>
        <w:t xml:space="preserve">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bCs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  <w:spacing w:val="-4"/>
        </w:rPr>
        <w:t xml:space="preserve">15.3. Сторона лишается права ссылаться на обстоятельства непреодолимой</w:t>
      </w:r>
      <w:r>
        <w:rPr>
          <w:rFonts w:ascii="Tinos" w:hAnsi="Tinos" w:eastAsia="Tinos" w:cs="Tinos"/>
          <w:bCs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  <w:r>
        <w:rPr>
          <w:rFonts w:ascii="Tinos" w:hAnsi="Tinos" w:cs="Tinos"/>
          <w:bCs/>
        </w:rPr>
      </w:r>
    </w:p>
    <w:p>
      <w:pPr>
        <w:ind w:right="1133"/>
        <w:jc w:val="center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16. Разрешение споров</w:t>
      </w:r>
      <w:r>
        <w:rPr>
          <w:rFonts w:ascii="Tinos" w:hAnsi="Tinos" w:cs="Tinos"/>
          <w:b/>
          <w:bCs/>
        </w:rPr>
      </w:r>
    </w:p>
    <w:p>
      <w:pPr>
        <w:pStyle w:val="1388"/>
        <w:ind w:right="-1"/>
        <w:jc w:val="both"/>
        <w:spacing w:line="17" w:lineRule="atLeast"/>
        <w:widowControl w:val="off"/>
        <w:tabs>
          <w:tab w:val="left" w:pos="9356" w:leader="none"/>
          <w:tab w:val="left" w:pos="9497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16.1. Все споры, раз</w:t>
      </w:r>
      <w:r>
        <w:rPr>
          <w:rFonts w:ascii="Tinos" w:hAnsi="Tinos" w:eastAsia="Tinos" w:cs="Tinos"/>
          <w:bCs/>
        </w:rPr>
        <w:t xml:space="preserve">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nos" w:hAnsi="Tinos" w:eastAsia="Tinos" w:cs="Tinos"/>
          <w:bCs/>
          <w:spacing w:val="-4"/>
        </w:rPr>
        <w:t xml:space="preserve">разрешению в Арбитражном суде 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</w:rPr>
        <w:t xml:space="preserve"> по месту нахождения АО «Россети Сибирь Тываэнерго»</w:t>
      </w:r>
      <w:r>
        <w:rPr>
          <w:rFonts w:ascii="Tinos" w:hAnsi="Tinos" w:eastAsia="Tinos" w:cs="Tinos"/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nos" w:hAnsi="Tinos" w:eastAsia="Tinos" w:cs="Tinos"/>
          <w:bCs/>
          <w:spacing w:val="-4"/>
        </w:rPr>
        <w:t xml:space="preserve">Российском союзе промышленников и предпринимателей (РСПП) в соответствии</w:t>
      </w:r>
      <w:r>
        <w:rPr>
          <w:rFonts w:ascii="Tinos" w:hAnsi="Tinos" w:eastAsia="Tinos" w:cs="Tinos"/>
          <w:bCs/>
        </w:rPr>
        <w:t xml:space="preserve"> с его правилами, действующими на дату подачи искового заявления.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Заявление о выдаче исполнительного листа на принудительно</w:t>
      </w:r>
      <w:r>
        <w:rPr>
          <w:rFonts w:ascii="Tinos" w:hAnsi="Tinos" w:eastAsia="Tinos" w:cs="Tinos"/>
          <w:bCs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bCs/>
        </w:rPr>
      </w:r>
    </w:p>
    <w:p>
      <w:pPr>
        <w:pStyle w:val="1270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left" w:pos="1400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АО «Россети Сибирь Тываэнерго»: </w:t>
      </w:r>
      <w:hyperlink r:id="rId20" w:tooltip="mailto:tuvaenergo@tv.rosseti-sib.ru" w:history="1">
        <w:r>
          <w:rPr>
            <w:rFonts w:ascii="Tinos" w:hAnsi="Tinos" w:eastAsia="Tinos" w:cs="Tinos"/>
            <w:color w:val="0000ff"/>
            <w:sz w:val="22"/>
            <w:szCs w:val="22"/>
            <w:u w:val="single"/>
          </w:rPr>
          <w:t xml:space="preserve">tuvaenergo@tv.rosseti-sib.ru</w:t>
        </w:r>
      </w:hyperlink>
      <w:r>
        <w:rPr>
          <w:rFonts w:ascii="Tinos" w:hAnsi="Tinos" w:eastAsia="Tinos" w:cs="Tinos"/>
          <w:bCs/>
          <w:sz w:val="22"/>
          <w:szCs w:val="22"/>
        </w:rPr>
        <w:t xml:space="preserve">;</w:t>
      </w:r>
      <w:r>
        <w:rPr>
          <w:rFonts w:ascii="Tinos" w:hAnsi="Tinos" w:cs="Tinos"/>
          <w:bCs/>
          <w:sz w:val="22"/>
          <w:szCs w:val="22"/>
        </w:rPr>
      </w:r>
    </w:p>
    <w:p>
      <w:pPr>
        <w:pStyle w:val="1270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left" w:pos="1400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 </w:t>
      </w:r>
      <w:r>
        <w:rPr>
          <w:rFonts w:ascii="Tinos" w:hAnsi="Tinos" w:eastAsia="Tinos" w:cs="Tinos"/>
          <w:bCs/>
          <w:i/>
          <w:sz w:val="22"/>
          <w:szCs w:val="22"/>
        </w:rPr>
        <w:t xml:space="preserve"> </w:t>
      </w:r>
      <w:r>
        <w:rPr>
          <w:rFonts w:ascii="Tinos" w:hAnsi="Tinos" w:cs="Tinos"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16.2. Досудебный порядок урегулирования спора является обязательным. Срок ответа на претензию - </w:t>
      </w:r>
      <w:r>
        <w:rPr>
          <w:rFonts w:ascii="Tinos" w:hAnsi="Tinos" w:eastAsia="Tinos" w:cs="Tinos"/>
        </w:rPr>
        <w:t xml:space="preserve">15 (пятнадцать) календарных дней</w:t>
      </w:r>
      <w:r>
        <w:rPr>
          <w:rFonts w:ascii="Tinos" w:hAnsi="Tinos" w:eastAsia="Tinos" w:cs="Tinos"/>
          <w:bCs/>
        </w:rPr>
        <w:t xml:space="preserve"> со дня ее получения. Спор по имущественным требованиям Покупателя может быть передан на разрешение суда по истечении </w:t>
      </w:r>
      <w:r>
        <w:rPr>
          <w:rFonts w:ascii="Tinos" w:hAnsi="Tinos" w:eastAsia="Tinos" w:cs="Tinos"/>
        </w:rPr>
        <w:t xml:space="preserve">15 (пятнадцати)</w:t>
      </w:r>
      <w:r>
        <w:rPr>
          <w:rFonts w:ascii="Tinos" w:hAnsi="Tinos" w:eastAsia="Tinos" w:cs="Tinos"/>
          <w:bCs/>
        </w:rPr>
        <w:t xml:space="preserve"> 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bCs/>
        </w:rPr>
      </w:r>
    </w:p>
    <w:p>
      <w:pPr>
        <w:ind w:right="1133"/>
        <w:jc w:val="center"/>
        <w:spacing w:after="0" w:line="17" w:lineRule="atLeast"/>
        <w:widowControl w:val="off"/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17. Толкование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17.2. Договор в соответствии со ст. 431 ГК РФ</w:t>
      </w:r>
      <w:r>
        <w:rPr>
          <w:rFonts w:ascii="Tinos" w:hAnsi="Tinos" w:eastAsia="Tinos" w:cs="Tinos"/>
          <w:bCs/>
          <w:spacing w:val="-4"/>
        </w:rPr>
        <w:t xml:space="preserve"> подлежит толкованию с учетом буквального значения содержащихся</w:t>
      </w:r>
      <w:r>
        <w:rPr>
          <w:rFonts w:ascii="Tinos" w:hAnsi="Tinos" w:eastAsia="Tinos" w:cs="Tinos"/>
          <w:bCs/>
        </w:rPr>
        <w:t xml:space="preserve"> в нем слов и выражений.</w:t>
      </w:r>
      <w:r>
        <w:rPr>
          <w:rFonts w:ascii="Tinos" w:hAnsi="Tinos" w:cs="Tinos"/>
          <w:bCs/>
        </w:rPr>
      </w:r>
    </w:p>
    <w:p>
      <w:pPr>
        <w:pStyle w:val="1270"/>
        <w:ind w:left="0" w:right="1559"/>
        <w:jc w:val="center"/>
        <w:spacing w:line="17" w:lineRule="atLeast"/>
        <w:tabs>
          <w:tab w:val="left" w:pos="28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18. Заключительные положения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rPr>
          <w:rFonts w:ascii="Tinos" w:hAnsi="Tinos" w:eastAsia="Tinos" w:cs="Tinos"/>
        </w:rPr>
        <w:t xml:space="preserve">Акта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</w:rPr>
        <w:t xml:space="preserve">сверки</w:t>
      </w:r>
      <w:r>
        <w:rPr>
          <w:rFonts w:ascii="Tinos" w:hAnsi="Tinos" w:eastAsia="Tinos" w:cs="Tinos"/>
          <w:bCs/>
        </w:rPr>
        <w:t xml:space="preserve"> взаимных </w:t>
      </w:r>
      <w:r>
        <w:rPr>
          <w:rFonts w:ascii="Tinos" w:hAnsi="Tinos" w:eastAsia="Tinos" w:cs="Tinos"/>
        </w:rPr>
        <w:t xml:space="preserve">расчетов</w:t>
      </w:r>
      <w:r>
        <w:rPr>
          <w:rFonts w:ascii="Tinos" w:hAnsi="Tinos" w:eastAsia="Tinos" w:cs="Tinos"/>
          <w:bCs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rPr>
          <w:rFonts w:ascii="Tinos" w:hAnsi="Tinos" w:eastAsia="Tinos" w:cs="Tinos"/>
        </w:rPr>
        <w:t xml:space="preserve"> обязательств по Договору)</w:t>
      </w:r>
      <w:r>
        <w:rPr>
          <w:rFonts w:ascii="Tinos" w:hAnsi="Tinos" w:eastAsia="Tinos" w:cs="Tinos"/>
          <w:bCs/>
        </w:rPr>
        <w:t xml:space="preserve">. 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18.2. Договор со всеми его дополнительными соглашениями и приложения</w:t>
      </w:r>
      <w:r>
        <w:rPr>
          <w:rFonts w:ascii="Tinos" w:hAnsi="Tinos" w:eastAsia="Tinos" w:cs="Tinos"/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18.3. Ответственный представитель за согласование всех вопросов по настоящему Договору: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от Поставщика - ______, тел. :_______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bCs/>
        </w:rPr>
        <w:t xml:space="preserve">e-mail:______;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от Покупателя -– Батурин Николай Владимирович, тел.: +7 (394-22) 9-86-54, 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  <w:lang w:val="en-US"/>
        </w:rPr>
        <w:t xml:space="preserve">e-mail: </w:t>
      </w:r>
      <w:hyperlink r:id="rId21" w:tooltip="mailto:BaturinNV@tuva.mrsk-sib.ru" w:history="1">
        <w:r>
          <w:rPr>
            <w:rFonts w:ascii="Tinos" w:hAnsi="Tinos" w:eastAsia="Tinos" w:cs="Tinos"/>
            <w:color w:val="0000ff"/>
            <w:u w:val="single"/>
            <w:lang w:val="en-US" w:eastAsia="ru-RU"/>
          </w:rPr>
          <w:t xml:space="preserve">BaturinNV@tuva.mrsk-sib.ru;</w:t>
        </w:r>
      </w:hyperlink>
      <w:r>
        <w:rPr>
          <w:rFonts w:ascii="Tinos" w:hAnsi="Tinos" w:eastAsia="Tinos" w:cs="Tinos"/>
          <w:color w:val="0000ff"/>
          <w:u w:val="single"/>
          <w:lang w:val="en-US" w:eastAsia="ru-RU"/>
        </w:rPr>
        <w:t xml:space="preserve"> 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По вопросам поставки –Кулар Аржаан Юрьевич, тел.: +7 (39422) 9-85-29, 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  <w:lang w:val="en-US"/>
        </w:rPr>
        <w:t xml:space="preserve">e-mail: </w:t>
      </w:r>
      <w:hyperlink r:id="rId22" w:tooltip="mailto:KularAY@tv.rosseti-sib.ru" w:history="1">
        <w:r>
          <w:rPr>
            <w:rFonts w:ascii="Tinos" w:hAnsi="Tinos" w:eastAsia="Tinos" w:cs="Tinos"/>
            <w:color w:val="0000ff"/>
            <w:u w:val="single"/>
            <w:lang w:val="en-US" w:eastAsia="ru-RU"/>
          </w:rPr>
          <w:t xml:space="preserve">KularAY@tv.rosseti-sib.ru</w:t>
        </w:r>
      </w:hyperlink>
      <w:r>
        <w:rPr>
          <w:rFonts w:ascii="Tinos" w:hAnsi="Tinos" w:eastAsia="Tinos" w:cs="Tinos"/>
          <w:bCs/>
          <w:lang w:val="en-US"/>
        </w:rPr>
        <w:t xml:space="preserve">. </w:t>
      </w:r>
      <w:r>
        <w:rPr>
          <w:rFonts w:ascii="Tinos" w:hAnsi="Tinos" w:eastAsia="Tinos" w:cs="Tinos"/>
          <w:bCs/>
        </w:rPr>
        <w:t xml:space="preserve">Часы работы: Пн. – Пт. с 8:00-17:00.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18.4.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18.5. Стороны обязаны письменно уведомлять друг друга об изменении реквизитов, места нахождения, почтового адреса, номеров телефонов в течение </w:t>
      </w:r>
      <w:r>
        <w:rPr>
          <w:rFonts w:ascii="Tinos" w:hAnsi="Tinos" w:eastAsia="Tinos" w:cs="Tinos"/>
        </w:rPr>
        <w:t xml:space="preserve">3 (трех)</w:t>
      </w:r>
      <w:r>
        <w:rPr>
          <w:rFonts w:ascii="Tinos" w:hAnsi="Tinos" w:eastAsia="Tinos" w:cs="Tinos"/>
          <w:bCs/>
        </w:rPr>
        <w:t xml:space="preserve"> рабочих дней с даты таких изменений.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18.6.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18.7. Вопросы, не урегулированные Договором, регламентируются нормами законодательства Российской Федерации.</w:t>
      </w:r>
      <w:r>
        <w:rPr>
          <w:rFonts w:ascii="Tinos" w:hAnsi="Tinos" w:cs="Tinos"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bCs/>
        </w:rPr>
      </w:pPr>
      <w:r>
        <w:rPr>
          <w:rFonts w:ascii="Tinos" w:hAnsi="Tinos" w:eastAsia="Tinos" w:cs="Tinos"/>
          <w:bCs/>
        </w:rPr>
        <w:t xml:space="preserve">18.8. Все указанные в Договоре приложения являются его неотъемлемой его частью.</w:t>
      </w:r>
      <w:r>
        <w:rPr>
          <w:rFonts w:ascii="Tinos" w:hAnsi="Tinos" w:cs="Tinos"/>
          <w:bCs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18.9. 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</w:rPr>
      </w:r>
    </w:p>
    <w:p>
      <w:pPr>
        <w:ind w:right="-1"/>
        <w:jc w:val="center"/>
        <w:spacing w:after="0" w:line="17" w:lineRule="atLeast"/>
        <w:widowControl w:val="off"/>
        <w:tabs>
          <w:tab w:val="left" w:pos="284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19. Перечень документов, прилагаемых к настоящему Договору</w:t>
      </w:r>
      <w:r>
        <w:rPr>
          <w:rFonts w:ascii="Tinos" w:hAnsi="Tinos" w:cs="Tinos"/>
          <w:b/>
          <w:bCs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19.1. Приложение № 1 «</w:t>
      </w:r>
      <w:r>
        <w:rPr>
          <w:rFonts w:ascii="Tinos" w:hAnsi="Tinos" w:eastAsia="Tinos" w:cs="Tinos"/>
          <w:bCs/>
        </w:rPr>
        <w:t xml:space="preserve">Спецификация</w:t>
      </w:r>
      <w:r>
        <w:rPr>
          <w:rFonts w:ascii="Tinos" w:hAnsi="Tinos" w:eastAsia="Tinos" w:cs="Tinos"/>
        </w:rPr>
        <w:t xml:space="preserve">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19.2. Приложение № 2 «</w:t>
      </w:r>
      <w:r>
        <w:rPr>
          <w:rFonts w:ascii="Tinos" w:hAnsi="Tinos" w:eastAsia="Tinos" w:cs="Tinos"/>
          <w:bCs/>
        </w:rPr>
        <w:t xml:space="preserve">Технические характеристики, требования</w:t>
      </w:r>
      <w:r>
        <w:rPr>
          <w:rFonts w:ascii="Tinos" w:hAnsi="Tinos" w:eastAsia="Tinos" w:cs="Tinos"/>
        </w:rPr>
        <w:t xml:space="preserve">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19.3. Приложение № 3 «Форма Заявки».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19.4. Приложение № 4 «</w:t>
      </w:r>
      <w:r>
        <w:rPr>
          <w:rFonts w:ascii="Tinos" w:hAnsi="Tinos" w:eastAsia="Tinos" w:cs="Tinos"/>
        </w:rPr>
        <w:t xml:space="preserve">Информация о собственниках контрагента, включая конечных бенефициаров».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19.5. Приложение № 5 «Согласие на обработку персональных данных (форма)».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19.6. Приложение № 6 «</w:t>
      </w:r>
      <w:r>
        <w:rPr>
          <w:rFonts w:ascii="Tinos" w:hAnsi="Tinos" w:eastAsia="Tinos" w:cs="Tinos"/>
          <w:bCs/>
          <w:highlight w:val="white"/>
        </w:rPr>
        <w:t xml:space="preserve">Условия предоставления обеспечения исполнения обязательств при аномально низкой цене».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19.7. </w:t>
      </w:r>
      <w:r>
        <w:rPr>
          <w:rFonts w:ascii="Tinos" w:hAnsi="Tinos" w:eastAsia="Tinos" w:cs="Tinos"/>
          <w:highlight w:val="white"/>
        </w:rPr>
        <w:t xml:space="preserve">Приложение № 7 «Обеспечение исполнения обязательств».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19.8.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7.1. «Форма независимой гарантии на исполнение обязательств».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19.9.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7.2. «Форма изменения к независимой гарантии».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19.10.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7.3. «Форма единой независимой гарантии».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19.11.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7.4. «Форма независимой гарантии обеспечения гарантийных обязательств».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19.12.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7.5. «Форма соглашения о гарантийном депозите».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19.13.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7.6. «Форма соглашения об обеспечительном платеже в качестве обеспечения исполнения обязательств по договору».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eastAsia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19.14.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 № 7.7. «Форма соглашения об обеспечительном платеже в качестве обеспечения исполнения обязательств в гарантийный период».</w:t>
      </w:r>
      <w:r>
        <w:rPr>
          <w:rFonts w:ascii="Tinos" w:hAnsi="Tinos" w:eastAsia="Tinos" w:cs="Tinos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20. Адреса и реквизиты Сторон</w:t>
      </w:r>
      <w:r>
        <w:rPr>
          <w:rFonts w:ascii="Tinos" w:hAnsi="Tinos" w:cs="Tinos"/>
          <w:b/>
          <w:bCs/>
        </w:rPr>
      </w:r>
    </w:p>
    <w:tbl>
      <w:tblPr>
        <w:tblW w:w="10029" w:type="dxa"/>
        <w:tblInd w:w="-1" w:type="dxa"/>
        <w:tblLayout w:type="fixed"/>
        <w:tblLook w:val="01E0" w:firstRow="1" w:lastRow="1" w:firstColumn="1" w:lastColumn="1" w:noHBand="0" w:noVBand="0"/>
      </w:tblPr>
      <w:tblGrid>
        <w:gridCol w:w="4961"/>
        <w:gridCol w:w="5068"/>
      </w:tblGrid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Тыва, г. Кызыл, ул. Рабочая, 4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Адрес почтовый: 667001, Республика Тыва,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г. Кызыл, ул. Рабочая, 4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ИНН/КПП 1701029232 /170101001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Р/с 40702810865000001852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в КРАСНОЯРСКОЕ ОТДЕЛЕНИЕ № 8646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ПАО СБЕРБАНК г. КРАСНОЯРСК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К/с 30101810800000000627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БИК 040407627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_____________________/ А.В. Лукин /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Адрес юридический:</w:t>
            </w:r>
            <w:r>
              <w:rPr>
                <w:rFonts w:ascii="Tinos" w:hAnsi="Tinos" w:eastAsia="Tinos" w:cs="Tinos"/>
              </w:rPr>
              <w:t xml:space="preserve">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Адрес почтовый: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ИНН/КПП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Р/с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К/с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БИК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ОГРН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ОКПО 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______________________/ /</w:t>
            </w:r>
            <w:r>
              <w:rPr>
                <w:rFonts w:ascii="Tinos" w:hAnsi="Tinos" w:cs="Tinos"/>
                <w:bCs/>
              </w:rPr>
            </w:r>
          </w:p>
        </w:tc>
      </w:tr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М.П.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М.П.</w:t>
            </w:r>
            <w:r>
              <w:rPr>
                <w:rFonts w:ascii="Tinos" w:hAnsi="Tinos" w:cs="Tinos"/>
                <w:bCs/>
              </w:rPr>
            </w:r>
          </w:p>
        </w:tc>
      </w:tr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</w:rPr>
        <w:sectPr>
          <w:footnotePr/>
          <w:endnotePr/>
          <w:type w:val="nextPage"/>
          <w:pgSz w:w="11907" w:h="16840" w:orient="portrait"/>
          <w:pgMar w:top="1134" w:right="851" w:bottom="851" w:left="993" w:header="709" w:footer="709" w:gutter="0"/>
          <w:pgNumType w:start="1"/>
          <w:cols w:num="1" w:sep="0" w:space="720" w:equalWidth="1"/>
          <w:docGrid w:linePitch="360"/>
        </w:sectPr>
      </w:pPr>
      <w:r>
        <w:rPr>
          <w:rFonts w:ascii="Tinos" w:hAnsi="Tinos" w:eastAsia="Tinos" w:cs="Tinos"/>
          <w:b/>
        </w:rPr>
        <w:t xml:space="preserve">                   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>
        <w:rPr>
          <w:rFonts w:ascii="Tinos" w:hAnsi="Tinos" w:eastAsia="Tinos" w:cs="Tinos"/>
        </w:rPr>
        <w:t xml:space="preserve">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 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от «___» ________ 20__ г.</w:t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СПЕЦИФИКАЦИЯ №_____от ________20__г.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к Договору поставки № _____________от________20__г.</w:t>
      </w:r>
      <w:r>
        <w:rPr>
          <w:rFonts w:ascii="Tinos" w:hAnsi="Tinos" w:cs="Tinos"/>
          <w:bCs/>
        </w:rPr>
      </w:r>
    </w:p>
    <w:tbl>
      <w:tblPr>
        <w:tblpPr w:horzAnchor="page" w:tblpX="1134" w:vertAnchor="page" w:tblpY="3053" w:leftFromText="180" w:topFromText="0" w:rightFromText="180" w:bottomFromText="0"/>
        <w:tblW w:w="10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846"/>
        <w:gridCol w:w="1839"/>
        <w:gridCol w:w="1730"/>
        <w:gridCol w:w="967"/>
        <w:gridCol w:w="709"/>
        <w:gridCol w:w="708"/>
        <w:gridCol w:w="1276"/>
        <w:gridCol w:w="23"/>
        <w:gridCol w:w="1253"/>
        <w:gridCol w:w="23"/>
      </w:tblGrid>
      <w:tr>
        <w:tblPrEx/>
        <w:trPr>
          <w:gridAfter w:val="1"/>
          <w:trHeight w:val="169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83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Наименование продукции, 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Страна происхождения товара и его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Номер реестровой записи товара (указывается номер реестровой записи товара при его наличии)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gridAfter w:val="1"/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3411110058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Трансформатор ТМГ-100/10/0,4 Y/Zн-11УХЛ1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40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3411210065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Трансформатор ТМГ-160/10/0,4 Y/Zн-11УХЛ1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40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3411210066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Трансформатор ТМГ-250/10/0,4 Y/Zн11 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40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3411210067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Трансформатор ТМГ-400/10/0,4 Y/Zн-11УХЛ1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40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3411210059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Трансформатор ТМГ-630/10/0,4 D/Yн-11УХЛ1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8"/>
            <w:tcW w:w="8098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8"/>
            <w:tcW w:w="8098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8"/>
            <w:tcW w:w="8098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</w:rPr>
      </w:pPr>
      <w:r>
        <w:rPr>
          <w:rFonts w:ascii="Tinos" w:hAnsi="Tinos" w:cs="Tinos"/>
          <w:b/>
          <w:bCs/>
          <w:i/>
        </w:rPr>
      </w:r>
      <w:r>
        <w:rPr>
          <w:rFonts w:ascii="Tinos" w:hAnsi="Tinos" w:cs="Tinos"/>
          <w:b/>
          <w:bCs/>
          <w:i/>
        </w:rPr>
      </w:r>
    </w:p>
    <w:p>
      <w:pPr>
        <w:spacing w:after="0" w:line="17" w:lineRule="atLeast"/>
        <w:widowControl w:val="off"/>
        <w:tabs>
          <w:tab w:val="left" w:pos="10435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tabs>
          <w:tab w:val="left" w:pos="10435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Срок поставки отдельной партии Продукции согласовывается в Заявках Покупателя на    поставку.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tabs>
          <w:tab w:val="left" w:pos="10435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Заявка на поставку Продукции подается не позднее, чем за 60 (шестьдесят) календарных дней до планируемого срока поставки.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Способ поставки товара - транспортом Поставщика до: г. Кызыл, ул. Колхозная 2Б.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ПОКУПАТЕЛЬ                </w:t>
      </w:r>
      <w:r>
        <w:rPr>
          <w:rFonts w:ascii="Tinos" w:hAnsi="Tinos" w:eastAsia="Tinos" w:cs="Tinos"/>
          <w:bCs/>
          <w:lang w:eastAsia="ru-RU"/>
        </w:rPr>
        <w:tab/>
        <w:t xml:space="preserve">                                       ПОСТАВЩИК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_____________________/</w:t>
      </w:r>
      <w:r>
        <w:rPr>
          <w:rFonts w:ascii="Tinos" w:hAnsi="Tinos" w:eastAsia="Tinos" w:cs="Tinos"/>
          <w:lang w:eastAsia="ru-RU"/>
        </w:rPr>
        <w:t xml:space="preserve"> А.В. Лукин</w:t>
      </w:r>
      <w:r>
        <w:rPr>
          <w:rFonts w:ascii="Tinos" w:hAnsi="Tinos" w:eastAsia="Tinos" w:cs="Tinos"/>
          <w:bCs/>
          <w:lang w:eastAsia="ru-RU"/>
        </w:rPr>
        <w:t xml:space="preserve"> /                          _____________________/ /</w:t>
      </w:r>
      <w:r>
        <w:rPr>
          <w:rFonts w:ascii="Tinos" w:hAnsi="Tinos" w:eastAsia="Tinos" w:cs="Tinos"/>
          <w:lang w:eastAsia="ru-RU"/>
        </w:rPr>
        <w:t xml:space="preserve"> 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М.П.     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5954" w:firstLine="11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Приложение № 2 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tabs>
          <w:tab w:val="right" w:pos="15138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от «___» ________ 20__ г.</w:t>
      </w: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cs="Tinos"/>
          <w:sz w:val="20"/>
          <w:szCs w:val="20"/>
        </w:rPr>
      </w:r>
    </w:p>
    <w:p>
      <w:pPr>
        <w:ind w:firstLine="567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Технические характеристики и требования к ТМГ 100 кВА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cs="Tinos"/>
          <w:b/>
          <w:sz w:val="20"/>
          <w:szCs w:val="20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40"/>
        <w:gridCol w:w="1662"/>
        <w:gridCol w:w="1419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Код параметра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(не подлежит изменению)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ab/>
              <w:t xml:space="preserve">Производитель: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1.2.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- силовой трансформатор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 Заводской тип (марка)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2.1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 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3.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ZPM_KLIMAT_RAZM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+40 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3.8.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Параметры силового трансформатора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Тип (марка) / Производитель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*/*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ZPM_TIP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10/0,4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Номинальная мощность,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±2*2,5%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 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– при несимметричной нагрузке и мощности до 400 кВА;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-11</w:t>
            </w:r>
            <w:r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1591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217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ZPM_P_HH_VT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ZPM_PERIOD_PROVED_TO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 Требования по надежности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ZPM_SROK_SLUZBY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 Требования по безопасности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Технические характеристики и требования к ТМГ 160 кВА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cs="Tinos"/>
          <w:b/>
          <w:sz w:val="20"/>
          <w:szCs w:val="20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40"/>
        <w:gridCol w:w="1662"/>
        <w:gridCol w:w="1419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Код параметра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(не подлежит изменению)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ab/>
              <w:t xml:space="preserve">Производитель: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1.1.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- силовой трансформатор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 Заводской тип (марка)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2.1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 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ZPM_KLIMAT_RAZM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+40 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3.8.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Параметры силового трансформатора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Тип (марка) / Производитель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*/*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ZPM_TIP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10/0,4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Номинальная мощность,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±2*2,5%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 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– при несимметричной нагрузке и мощности до 400 кВА;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-11</w:t>
            </w:r>
            <w:r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2136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ZPM_P_HH_VT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ZPM_PERIOD_PROVED_TO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 Требования по надежности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ZPM_SROK_SLUZBY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 Требования по безопасности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Технические характеристики и требования к ТМГ 250 кВА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cs="Tinos"/>
          <w:b/>
          <w:sz w:val="20"/>
          <w:szCs w:val="20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40"/>
        <w:gridCol w:w="1662"/>
        <w:gridCol w:w="1419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Код параметра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(не подлежит изменению)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ab/>
              <w:t xml:space="preserve">Производитель: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1.1.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- силовой трансформатор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 Заводской тип (марка)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1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2.1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 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3.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ZPM_KLIMAT_RAZM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+40 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3.8.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Параметры силового трансформатора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Тип (марка) / Производитель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*/*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ZPM_TIP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10/0,4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Номинальная мощность,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250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±2*2,5%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 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– при несимметричной нагрузке и мощности до 400 кВА;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-11</w:t>
            </w:r>
            <w:r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 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- 250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2955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- 250 кВА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425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ZPM_P_HH_VT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ZPM_PERIOD_PROVED_TO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 Требования по надежности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ZPM_SROK_SLUZBY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 Требования по безопасности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Технические характеристики и требования к ТМГ 400кВА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cs="Tinos"/>
          <w:b/>
          <w:sz w:val="20"/>
          <w:szCs w:val="20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40"/>
        <w:gridCol w:w="1662"/>
        <w:gridCol w:w="1419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Код параметра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(не подлежит изменению)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ab/>
              <w:t xml:space="preserve">Производитель: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1.1.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- силовой трансформатор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 Заводской тип (марка)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2.1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 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3.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ZPM_KLIMAT_RAZM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+40 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3.8.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Параметры силового трансформатора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Тип (марка) / Производитель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*/*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ZPM_TIP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10/0,4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Номинальная мощность,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±2*2,5%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 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– при несимметричной нагрузке и мощности до 400 кВА;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-11</w:t>
            </w:r>
            <w:r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 400 кВА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4182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 400 кВА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565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ZPM_P_HH_VT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ZPM_PERIOD_PROVED_TO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 Требования по надежности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ZPM_SROK_SLUZBY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 Требования по безопасности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Технические характеристики и требования к ТМГ 630 кВА </w:t>
      </w:r>
      <w:r>
        <w:rPr>
          <w:rFonts w:ascii="Tinos" w:hAnsi="Tinos" w:cs="Tinos"/>
          <w:b/>
          <w:sz w:val="20"/>
          <w:szCs w:val="20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40"/>
        <w:gridCol w:w="1662"/>
        <w:gridCol w:w="1419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Код параметра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(не подлежит изменению)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ab/>
              <w:t xml:space="preserve">Производитель: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1.1.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- силовой трансформатор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 Заводской тип (марка)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2.1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 КТП</w:t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3.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УХЛ1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ZPM_KLIMAT_RAZM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+40 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81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-60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3.8.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 Параметры силового трансформатора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Тип (марка) / Производитель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*/*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ZPM_TIP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10/0,4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Номинальная мощность, кВА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630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±2*2,5%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∆/</w:t>
            </w:r>
            <w:r>
              <w:rPr>
                <w:rFonts w:ascii="Tinos" w:hAnsi="Tinos" w:eastAsia="Tinos" w:cs="Tinos"/>
                <w:i/>
                <w:sz w:val="20"/>
                <w:szCs w:val="20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20"/>
                <w:szCs w:val="20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-11</w:t>
            </w:r>
            <w:r>
              <w:rPr>
                <w:rFonts w:ascii="Tinos" w:hAnsi="Tinos" w:cs="Tinos"/>
                <w:i/>
                <w:sz w:val="20"/>
                <w:szCs w:val="20"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- 630 кВА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pStyle w:val="1388"/>
              <w:jc w:val="center"/>
              <w:spacing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6136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  <w:sz w:val="20"/>
                <w:szCs w:val="20"/>
              </w:rPr>
              <w:outlineLvl w:val="3"/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- 630 кВА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696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ZPM_P_HH_VT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ZPM_PERIOD_PROVED_TO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52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 Требования по надежности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30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ZPM_SROK_SLUZBY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 Требования по безопасности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7.6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-392" w:firstLine="34"/>
        <w:jc w:val="both"/>
        <w:spacing w:after="0" w:line="17" w:lineRule="atLeas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6237"/>
        <w:spacing w:after="0" w:line="240" w:lineRule="auto"/>
        <w:widowControl w:val="off"/>
        <w:tabs>
          <w:tab w:val="left" w:pos="1125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  <w:sectPr>
          <w:headerReference w:type="default" r:id="rId9"/>
          <w:headerReference w:type="first" r:id="rId10"/>
          <w:footerReference w:type="default" r:id="rId11"/>
          <w:footerReference w:type="first" r:id="rId12"/>
          <w:footnotePr/>
          <w:endnotePr/>
          <w:type w:val="nextPage"/>
          <w:pgSz w:w="11907" w:h="16839" w:orient="portrait"/>
          <w:pgMar w:top="709" w:right="708" w:bottom="709" w:left="1134" w:header="68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12191" w:hanging="3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Приложение № 3</w:t>
      </w:r>
      <w:r>
        <w:rPr>
          <w:rFonts w:ascii="Tinos" w:hAnsi="Tinos" w:cs="Tinos"/>
          <w:sz w:val="20"/>
          <w:szCs w:val="20"/>
        </w:rPr>
      </w:r>
    </w:p>
    <w:p>
      <w:pPr>
        <w:ind w:left="12191" w:hanging="3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к Договору №_______________</w:t>
      </w:r>
      <w:r>
        <w:rPr>
          <w:rFonts w:ascii="Tinos" w:hAnsi="Tinos" w:cs="Tinos"/>
          <w:sz w:val="20"/>
          <w:szCs w:val="20"/>
        </w:rPr>
      </w:r>
    </w:p>
    <w:p>
      <w:pPr>
        <w:ind w:left="12191" w:hanging="3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от "______" _________ 20___г.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center"/>
        <w:keepNext/>
        <w:spacing w:after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  <w:lang w:eastAsia="ru-RU"/>
        </w:rPr>
        <w:t xml:space="preserve">ЗАЯВКА НА ПОСТАВКУ ТОВАРА №______</w:t>
      </w:r>
      <w:r>
        <w:rPr>
          <w:rFonts w:ascii="Tinos" w:hAnsi="Tinos" w:cs="Tinos"/>
          <w:b/>
        </w:rPr>
      </w:r>
    </w:p>
    <w:p>
      <w:pPr>
        <w:ind w:firstLine="709"/>
        <w:jc w:val="center"/>
        <w:keepNext/>
        <w:spacing w:after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      к Договору № _______________ от «____» _________ 202__ года</w:t>
      </w:r>
      <w:r>
        <w:rPr>
          <w:rFonts w:ascii="Tinos" w:hAnsi="Tinos" w:cs="Tinos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      Поставщик:</w:t>
      </w:r>
      <w:r>
        <w:rPr>
          <w:rFonts w:ascii="Tinos" w:hAnsi="Tinos" w:cs="Tinos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      Покупатель: </w:t>
      </w:r>
      <w:r>
        <w:rPr>
          <w:rFonts w:ascii="Tinos" w:hAnsi="Tinos" w:cs="Tinos"/>
        </w:rPr>
      </w:r>
    </w:p>
    <w:tbl>
      <w:tblPr>
        <w:tblW w:w="14600" w:type="dxa"/>
        <w:tblInd w:w="2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264"/>
        <w:gridCol w:w="50"/>
        <w:gridCol w:w="663"/>
        <w:gridCol w:w="846"/>
        <w:gridCol w:w="320"/>
        <w:gridCol w:w="819"/>
        <w:gridCol w:w="1134"/>
        <w:gridCol w:w="992"/>
        <w:gridCol w:w="1134"/>
        <w:gridCol w:w="1275"/>
        <w:gridCol w:w="1701"/>
      </w:tblGrid>
      <w:tr>
        <w:tblPrEx/>
        <w:trPr>
          <w:cantSplit/>
          <w:trHeight w:val="1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Наименование и тип товара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  <w:lang w:eastAsia="ru-RU"/>
              </w:rPr>
              <w:t xml:space="preserve">(в соответствии со справочником МТР/Спецификацией)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Марка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(номер чертежа)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Ед. 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Цена за ед. 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Сумма 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НДС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Срок поставки товара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4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6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9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3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Ставка, %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3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Сумма НДС,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  <w:p>
            <w:pPr>
              <w:ind w:firstLine="3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264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264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3.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264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textDirection w:val="lrTb"/>
            <w:noWrap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835" w:type="dxa"/>
            <w:textDirection w:val="lrTb"/>
            <w:noWrap/>
          </w:tcPr>
          <w:p>
            <w:pPr>
              <w:ind w:hanging="15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264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0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63" w:type="dxa"/>
            <w:vAlign w:val="center"/>
            <w:textDirection w:val="lrTb"/>
            <w:noWrap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6" w:type="dxa"/>
            <w:vAlign w:val="center"/>
            <w:textDirection w:val="lrTb"/>
            <w:noWrap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32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19" w:type="dxa"/>
            <w:vAlign w:val="center"/>
            <w:textDirection w:val="lrTb"/>
            <w:noWrap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34" w:type="dxa"/>
            <w:vAlign w:val="center"/>
            <w:textDirection w:val="lrTb"/>
            <w:noWrap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1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600" w:type="dxa"/>
            <w:vAlign w:val="bottom"/>
            <w:textDirection w:val="lrTb"/>
            <w:noWrap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ru-RU"/>
              </w:rPr>
              <w:t xml:space="preserve">Общая сумма, включая транспортные расходы, с учетом НДС - ___________________________________________________________________рублей  ____ копеек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  <w:p>
            <w:pPr>
              <w:ind w:firstLine="709"/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</w:t>
            </w:r>
            <w:r>
              <w:rPr>
                <w:rFonts w:ascii="Tinos" w:hAnsi="Tinos" w:eastAsia="Tinos" w:cs="Tinos"/>
                <w:i/>
                <w:sz w:val="20"/>
                <w:szCs w:val="20"/>
                <w:lang w:eastAsia="ru-RU"/>
              </w:rPr>
              <w:t xml:space="preserve">указывается прописью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ind w:firstLine="709"/>
        <w:jc w:val="center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14598" w:type="dxa"/>
        <w:tblInd w:w="283" w:type="dxa"/>
        <w:tblLayout w:type="fixed"/>
        <w:tblLook w:val="00A0" w:firstRow="1" w:lastRow="0" w:firstColumn="1" w:lastColumn="0" w:noHBand="0" w:noVBand="0"/>
      </w:tblPr>
      <w:tblGrid>
        <w:gridCol w:w="2213"/>
        <w:gridCol w:w="9676"/>
        <w:gridCol w:w="2473"/>
        <w:gridCol w:w="236"/>
      </w:tblGrid>
      <w:tr>
        <w:tblPrEx/>
        <w:trPr/>
        <w:tc>
          <w:tcPr>
            <w:tcW w:w="2216" w:type="dxa"/>
            <w:textDirection w:val="lrTb"/>
            <w:noWrap w:val="false"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1. Объект поставки: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1216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До склада _________________________________________________________________________________________________________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80"/>
        </w:trPr>
        <w:tc>
          <w:tcPr>
            <w:tcW w:w="2216" w:type="dxa"/>
            <w:textDirection w:val="lrTb"/>
            <w:noWrap w:val="false"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2. Грузополучатель: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9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______________________________________________________________________________________________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2693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</w:t>
            </w:r>
            <w:r>
              <w:rPr>
                <w:rFonts w:ascii="Tinos" w:hAnsi="Tinos" w:eastAsia="Tinos" w:cs="Tinos"/>
                <w:i/>
                <w:sz w:val="20"/>
                <w:szCs w:val="20"/>
                <w:lang w:eastAsia="ru-RU"/>
              </w:rPr>
              <w:t xml:space="preserve">наименование, адрес, КПП)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iCs/>
          <w:sz w:val="20"/>
          <w:szCs w:val="20"/>
        </w:rPr>
      </w:pPr>
      <w:r>
        <w:rPr>
          <w:rFonts w:ascii="Tinos" w:hAnsi="Tinos" w:cs="Tinos"/>
          <w:b/>
          <w:bCs/>
          <w:iCs/>
          <w:sz w:val="20"/>
          <w:szCs w:val="20"/>
        </w:rPr>
      </w:r>
      <w:r>
        <w:rPr>
          <w:rFonts w:ascii="Tinos" w:hAnsi="Tinos" w:cs="Tinos"/>
          <w:b/>
          <w:bCs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tabs>
          <w:tab w:val="left" w:pos="6735" w:leader="none"/>
        </w:tabs>
        <w:rPr>
          <w:rFonts w:ascii="Tinos" w:hAnsi="Tinos" w:cs="Tinos"/>
          <w:bCs/>
          <w:iCs/>
        </w:rPr>
      </w:pPr>
      <w:r>
        <w:rPr>
          <w:rFonts w:ascii="Tinos" w:hAnsi="Tinos" w:eastAsia="Tinos" w:cs="Tinos"/>
          <w:b/>
          <w:bCs/>
          <w:iCs/>
          <w:sz w:val="20"/>
          <w:szCs w:val="20"/>
          <w:lang w:eastAsia="ru-RU"/>
        </w:rPr>
        <w:t xml:space="preserve">     </w:t>
      </w:r>
      <w:r>
        <w:rPr>
          <w:rFonts w:ascii="Tinos" w:hAnsi="Tinos" w:eastAsia="Tinos" w:cs="Tinos"/>
          <w:b/>
          <w:bCs/>
          <w:iCs/>
          <w:lang w:eastAsia="ru-RU"/>
        </w:rPr>
        <w:t xml:space="preserve">Покупатель:</w:t>
      </w:r>
      <w:r>
        <w:rPr>
          <w:rFonts w:ascii="Tinos" w:hAnsi="Tinos" w:eastAsia="Tinos" w:cs="Tinos"/>
          <w:bCs/>
          <w:iCs/>
          <w:lang w:eastAsia="ru-RU"/>
        </w:rPr>
        <w:t xml:space="preserve">                                                                                                                           </w:t>
      </w:r>
      <w:r>
        <w:rPr>
          <w:rFonts w:ascii="Tinos" w:hAnsi="Tinos" w:eastAsia="Tinos" w:cs="Tinos"/>
          <w:b/>
          <w:bCs/>
          <w:iCs/>
          <w:lang w:eastAsia="ru-RU"/>
        </w:rPr>
        <w:t xml:space="preserve">Поставщик:</w:t>
      </w:r>
      <w:r>
        <w:rPr>
          <w:rFonts w:ascii="Tinos" w:hAnsi="Tinos" w:cs="Tinos"/>
          <w:bCs/>
          <w:iCs/>
        </w:rPr>
      </w:r>
    </w:p>
    <w:p>
      <w:pPr>
        <w:jc w:val="both"/>
        <w:keepNext/>
        <w:spacing w:after="0" w:line="17" w:lineRule="atLeast"/>
        <w:widowControl w:val="off"/>
        <w:tabs>
          <w:tab w:val="left" w:pos="9000" w:leader="none"/>
        </w:tabs>
        <w:rPr>
          <w:rFonts w:ascii="Tinos" w:hAnsi="Tinos" w:cs="Tinos"/>
          <w:bCs/>
          <w:iCs/>
        </w:rPr>
      </w:pPr>
      <w:r>
        <w:rPr>
          <w:rFonts w:ascii="Tinos" w:hAnsi="Tinos" w:eastAsia="Tinos" w:cs="Tinos"/>
          <w:bCs/>
          <w:iCs/>
          <w:lang w:eastAsia="ru-RU"/>
        </w:rPr>
        <w:tab/>
      </w:r>
      <w:r>
        <w:rPr>
          <w:rFonts w:ascii="Tinos" w:hAnsi="Tinos" w:cs="Tinos"/>
          <w:bCs/>
          <w:iCs/>
        </w:rPr>
      </w:r>
    </w:p>
    <w:p>
      <w:pPr>
        <w:jc w:val="both"/>
        <w:keepNext/>
        <w:spacing w:after="0" w:line="17" w:lineRule="atLeast"/>
        <w:widowControl w:val="off"/>
        <w:tabs>
          <w:tab w:val="left" w:pos="9000" w:leader="none"/>
        </w:tabs>
        <w:rPr>
          <w:rFonts w:ascii="Tinos" w:hAnsi="Tinos" w:cs="Tinos"/>
          <w:bCs/>
          <w:iCs/>
        </w:rPr>
      </w:pPr>
      <w:r>
        <w:rPr>
          <w:rFonts w:ascii="Tinos" w:hAnsi="Tinos" w:eastAsia="Tinos" w:cs="Tinos"/>
          <w:bCs/>
          <w:iCs/>
          <w:lang w:eastAsia="ru-RU"/>
        </w:rPr>
        <w:t xml:space="preserve">     ______________________/ А.В. Лукин /                                                                               _______________________/ /</w:t>
      </w:r>
      <w:r>
        <w:rPr>
          <w:rFonts w:ascii="Tinos" w:hAnsi="Tinos" w:cs="Tinos"/>
          <w:bCs/>
          <w:iCs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Cs/>
          <w:iCs/>
        </w:rPr>
      </w:pPr>
      <w:r>
        <w:rPr>
          <w:rFonts w:ascii="Tinos" w:hAnsi="Tinos" w:eastAsia="Tinos" w:cs="Tinos"/>
          <w:bCs/>
          <w:iCs/>
          <w:lang w:eastAsia="ru-RU"/>
        </w:rPr>
        <w:t xml:space="preserve">     М.П.                                                                                                                                          М.П.</w:t>
      </w:r>
      <w:r>
        <w:rPr>
          <w:rFonts w:ascii="Tinos" w:hAnsi="Tinos" w:cs="Tinos"/>
          <w:bCs/>
          <w:iCs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Cs/>
          <w:iCs/>
        </w:rPr>
      </w:pPr>
      <w:r>
        <w:rPr>
          <w:rFonts w:ascii="Tinos" w:hAnsi="Tinos" w:eastAsia="Tinos" w:cs="Tinos"/>
          <w:bCs/>
          <w:iCs/>
          <w:lang w:eastAsia="ru-RU"/>
        </w:rPr>
        <w:t xml:space="preserve">    «_____»____________20___г.                                                                                                 «_____»____________20___г.</w:t>
      </w:r>
      <w:r>
        <w:rPr>
          <w:rFonts w:ascii="Tinos" w:hAnsi="Tinos" w:cs="Tinos"/>
          <w:bCs/>
          <w:iCs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i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b/>
          <w:bCs/>
          <w:iCs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_______________________________________________________________________________________________________________________________________</w:t>
      </w:r>
      <w:r>
        <w:rPr>
          <w:rFonts w:ascii="Tinos" w:hAnsi="Tinos" w:cs="Tinos"/>
          <w:b/>
          <w:bCs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iCs/>
        </w:rPr>
      </w:pPr>
      <w:r>
        <w:rPr>
          <w:rFonts w:ascii="Tinos" w:hAnsi="Tinos" w:eastAsia="Tinos" w:cs="Tinos"/>
          <w:b/>
          <w:bCs/>
          <w:iCs/>
          <w:sz w:val="20"/>
          <w:szCs w:val="20"/>
          <w:lang w:eastAsia="ru-RU"/>
        </w:rPr>
        <w:t xml:space="preserve">      Ф</w:t>
      </w:r>
      <w:r>
        <w:rPr>
          <w:rFonts w:ascii="Tinos" w:hAnsi="Tinos" w:eastAsia="Tinos" w:cs="Tinos"/>
          <w:b/>
          <w:bCs/>
          <w:iCs/>
          <w:lang w:eastAsia="ru-RU"/>
        </w:rPr>
        <w:t xml:space="preserve">ОРМУ СОГЛАСОВАЛИ:</w:t>
      </w:r>
      <w:r>
        <w:rPr>
          <w:rFonts w:ascii="Tinos" w:hAnsi="Tinos" w:cs="Tinos"/>
          <w:b/>
          <w:bCs/>
          <w:iCs/>
        </w:rPr>
      </w:r>
    </w:p>
    <w:tbl>
      <w:tblPr>
        <w:tblW w:w="14740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7370"/>
        <w:gridCol w:w="7370"/>
      </w:tblGrid>
      <w:tr>
        <w:tblPrEx/>
        <w:trPr>
          <w:trHeight w:val="411"/>
        </w:trPr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______________________/ А.В. Лукин /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_______________________/ /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245"/>
        </w:trPr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679"/>
        </w:trPr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«_____»____________20___г.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737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25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  <w:sectPr>
          <w:footnotePr/>
          <w:endnotePr/>
          <w:type w:val="nextPage"/>
          <w:pgSz w:w="16839" w:h="11907" w:orient="landscape"/>
          <w:pgMar w:top="426" w:right="709" w:bottom="284" w:left="709" w:header="68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954" w:firstLine="11"/>
        <w:pageBreakBefore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</w:rPr>
        <w:t xml:space="preserve">           </w:t>
      </w:r>
      <w:r>
        <w:rPr>
          <w:rFonts w:ascii="Tinos" w:hAnsi="Tinos" w:eastAsia="Tinos" w:cs="Tinos"/>
          <w:sz w:val="20"/>
          <w:szCs w:val="20"/>
        </w:rPr>
        <w:t xml:space="preserve">  Приложение № 4 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12"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954" w:firstLine="34"/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от «___» ________ 20__ г. 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</w:rPr>
      </w:pP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</w:rPr>
      </w:pP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</w:rPr>
      </w:r>
    </w:p>
    <w:tbl>
      <w:tblPr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851"/>
        <w:gridCol w:w="1842"/>
        <w:gridCol w:w="1418"/>
        <w:gridCol w:w="1417"/>
        <w:gridCol w:w="1560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</w:pPr>
      <w:r/>
      <w:r/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</w:pPr>
      <w:r/>
      <w:r/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</w:pPr>
      <w:r/>
      <w:r/>
    </w:p>
    <w:p>
      <w:pPr>
        <w:tabs>
          <w:tab w:val="left" w:pos="7995" w:leader="none"/>
        </w:tabs>
      </w:pPr>
      <w:r/>
      <w:r/>
    </w:p>
    <w:p>
      <w:pPr>
        <w:tabs>
          <w:tab w:val="left" w:pos="7995" w:leader="none"/>
        </w:tabs>
      </w:pPr>
      <w:r/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>
        <w:rPr>
          <w:rFonts w:ascii="Tinos" w:hAnsi="Tinos" w:eastAsia="Tinos" w:cs="Tinos"/>
          <w:lang w:eastAsia="ru-RU"/>
        </w:rPr>
        <w:t xml:space="preserve">                            </w:t>
      </w:r>
      <w:bookmarkStart w:id="2" w:name="_Hlk148038540"/>
      <w:r>
        <w:rPr>
          <w:rFonts w:ascii="Tinos" w:hAnsi="Tinos" w:eastAsia="Tinos" w:cs="Tinos"/>
          <w:sz w:val="20"/>
          <w:szCs w:val="20"/>
          <w:lang w:eastAsia="ru-RU"/>
        </w:rPr>
        <w:t xml:space="preserve">Приложение № 5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к Договору №___________________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от "____"________20__ г.</w:t>
      </w:r>
      <w:bookmarkEnd w:id="2"/>
      <w:r/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</w:rPr>
      </w:pPr>
      <w:r/>
      <w:bookmarkStart w:id="3" w:name="_Ref276562987"/>
      <w:r>
        <w:rPr>
          <w:rFonts w:ascii="Tinos" w:hAnsi="Tinos" w:eastAsia="Tinos" w:cs="Tinos"/>
          <w:b/>
          <w:lang w:eastAsia="ru-RU"/>
        </w:rPr>
        <w:t xml:space="preserve">СО 6.1461/0</w:t>
      </w:r>
      <w:r>
        <w:rPr>
          <w:rFonts w:ascii="Tinos" w:hAnsi="Tinos" w:cs="Tinos"/>
          <w:b/>
        </w:rPr>
      </w:r>
    </w:p>
    <w:p>
      <w:pPr>
        <w:ind w:firstLine="709"/>
        <w:jc w:val="both"/>
        <w:keepNext/>
        <w:spacing w:after="0" w:line="17" w:lineRule="atLeast"/>
        <w:rPr>
          <w:rFonts w:ascii="Tinos" w:hAnsi="Tinos" w:cs="Tinos"/>
          <w:b/>
          <w:bCs/>
          <w:smallCaps/>
        </w:rPr>
      </w:pPr>
      <w:r>
        <w:rPr>
          <w:rFonts w:ascii="Tinos" w:hAnsi="Tinos" w:cs="Tinos"/>
          <w:b/>
          <w:bCs/>
          <w:smallCaps/>
        </w:rPr>
      </w:r>
      <w:r>
        <w:rPr>
          <w:rFonts w:ascii="Tinos" w:hAnsi="Tinos" w:cs="Tinos"/>
          <w:b/>
          <w:bCs/>
          <w:smallCaps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  <w:lang w:eastAsia="ru-RU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  <w:lang w:eastAsia="ru-RU"/>
        </w:rPr>
        <w:t xml:space="preserve">от «_____» ____________ 20____ г.</w:t>
      </w:r>
      <w:r>
        <w:rPr>
          <w:rFonts w:ascii="Tinos" w:hAnsi="Tinos" w:cs="Tinos"/>
          <w:b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Настоящим, ________________________________________________________,</w:t>
      </w:r>
      <w:r>
        <w:rPr>
          <w:rFonts w:ascii="Tinos" w:hAnsi="Tinos" w:cs="Tinos"/>
        </w:rPr>
      </w:r>
    </w:p>
    <w:p>
      <w:pPr>
        <w:jc w:val="center"/>
        <w:keepNext/>
        <w:spacing w:after="0" w:line="17" w:lineRule="atLeast"/>
        <w:widowControl w:val="off"/>
        <w:rPr>
          <w:rFonts w:ascii="Tinos" w:hAnsi="Tinos" w:cs="Tinos"/>
          <w:b/>
          <w:i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lang w:eastAsia="ru-RU"/>
        </w:rPr>
        <w:t xml:space="preserve">(указывается</w:t>
      </w:r>
      <w:r>
        <w:rPr>
          <w:rFonts w:ascii="Tinos" w:hAnsi="Tinos" w:eastAsia="Tinos" w:cs="Tinos"/>
          <w:lang w:eastAsia="ru-RU"/>
        </w:rPr>
        <w:t xml:space="preserve"> </w:t>
      </w:r>
      <w:r>
        <w:rPr>
          <w:rFonts w:ascii="Tinos" w:hAnsi="Tinos" w:eastAsia="Tinos" w:cs="Tinos"/>
          <w:b/>
          <w:i/>
          <w:lang w:eastAsia="ru-RU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</w:rPr>
      </w:r>
    </w:p>
    <w:p>
      <w:pPr>
        <w:jc w:val="center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  <w:lang w:eastAsia="ru-RU"/>
        </w:rPr>
        <w:t xml:space="preserve">(потенциального контрагента), контрагента)</w:t>
      </w:r>
      <w:r>
        <w:rPr>
          <w:rFonts w:ascii="Tinos" w:hAnsi="Tinos" w:cs="Tinos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Адрес регистрации: _______________________________________________________,</w:t>
      </w:r>
      <w:r>
        <w:rPr>
          <w:rFonts w:ascii="Tinos" w:hAnsi="Tinos" w:cs="Tinos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  <w:lang w:eastAsia="ru-RU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lang w:eastAsia="ru-RU"/>
        </w:rPr>
        <w:t xml:space="preserve">ИНН__________________________</w:t>
      </w:r>
      <w:r>
        <w:rPr>
          <w:rFonts w:ascii="Tinos" w:hAnsi="Tinos" w:cs="Tinos"/>
          <w:b/>
          <w:i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  <w:b/>
          <w:i/>
          <w:lang w:eastAsia="ru-RU"/>
        </w:rPr>
        <w:t xml:space="preserve">КПП__________________________</w:t>
      </w:r>
      <w:r>
        <w:rPr>
          <w:rFonts w:ascii="Tinos" w:hAnsi="Tinos" w:cs="Tinos"/>
          <w:b/>
          <w:i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  <w:lang w:eastAsia="ru-RU"/>
        </w:rPr>
        <w:t xml:space="preserve">ОГРН_________________________</w:t>
      </w:r>
      <w:r>
        <w:rPr>
          <w:rFonts w:ascii="Tinos" w:hAnsi="Tinos" w:eastAsia="Tinos" w:cs="Tinos"/>
          <w:lang w:eastAsia="ru-RU"/>
        </w:rPr>
        <w:t xml:space="preserve">,</w:t>
      </w:r>
      <w:r>
        <w:rPr>
          <w:rFonts w:ascii="Tinos" w:hAnsi="Tinos" w:cs="Tinos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  <w:lang w:eastAsia="ru-RU"/>
        </w:rPr>
        <w:t xml:space="preserve">в лице</w:t>
      </w:r>
      <w:r>
        <w:rPr>
          <w:rFonts w:ascii="Tinos" w:hAnsi="Tinos" w:eastAsia="Tinos" w:cs="Tinos"/>
          <w:b/>
          <w:i/>
          <w:lang w:eastAsia="ru-RU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hAnsi="Tinos" w:eastAsia="Tinos" w:cs="Tinos"/>
          <w:b/>
          <w:i/>
          <w:lang w:eastAsia="ru-RU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lang w:eastAsia="ru-RU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</w:rPr>
      </w:r>
    </w:p>
    <w:p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  <w:bCs/>
          <w:i/>
          <w:iCs/>
          <w:lang w:eastAsia="ru-RU"/>
        </w:rPr>
        <w:t xml:space="preserve">________________________________________________________________________________,</w:t>
      </w:r>
      <w:r>
        <w:rPr>
          <w:rFonts w:ascii="Tinos" w:hAnsi="Tinos" w:cs="Tinos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hAnsi="Tinos" w:eastAsia="Tinos" w:cs="Tinos"/>
          <w:b/>
          <w:bCs/>
          <w:i/>
          <w:iCs/>
          <w:lang w:eastAsia="ru-RU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  <w:lang w:eastAsia="ru-RU"/>
        </w:rPr>
        <w:t xml:space="preserve">действующего на основании __________</w:t>
      </w:r>
      <w:r>
        <w:rPr>
          <w:rFonts w:ascii="Tinos" w:hAnsi="Tinos" w:eastAsia="Tinos" w:cs="Tinos"/>
          <w:i/>
          <w:lang w:eastAsia="ru-RU"/>
        </w:rPr>
        <w:t xml:space="preserve">,</w:t>
      </w:r>
      <w:r>
        <w:rPr>
          <w:rFonts w:ascii="Tinos" w:hAnsi="Tinos" w:eastAsia="Tinos" w:cs="Tinos"/>
          <w:b/>
          <w:i/>
          <w:lang w:eastAsia="ru-RU"/>
        </w:rPr>
        <w:t xml:space="preserve"> </w:t>
      </w:r>
      <w:r>
        <w:rPr>
          <w:rFonts w:ascii="Tinos" w:hAnsi="Tinos" w:eastAsia="Tinos" w:cs="Tinos"/>
          <w:lang w:eastAsia="ru-RU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lang w:eastAsia="ru-RU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lang w:eastAsia="ru-RU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lang w:eastAsia="ru-RU"/>
        </w:rPr>
        <w:t xml:space="preserve"> </w:t>
      </w:r>
      <w:r>
        <w:rPr>
          <w:rFonts w:ascii="Tinos" w:hAnsi="Tinos" w:eastAsia="Tinos" w:cs="Tinos"/>
          <w:lang w:eastAsia="ru-RU"/>
        </w:rPr>
        <w:t xml:space="preserve">и</w:t>
      </w:r>
      <w:r>
        <w:rPr>
          <w:rFonts w:ascii="Tinos" w:hAnsi="Tinos" w:eastAsia="Tinos" w:cs="Tinos"/>
          <w:i/>
          <w:lang w:eastAsia="ru-RU"/>
        </w:rPr>
        <w:t xml:space="preserve"> </w:t>
      </w:r>
      <w:r>
        <w:rPr>
          <w:rFonts w:ascii="Tinos" w:hAnsi="Tinos" w:eastAsia="Tinos" w:cs="Tinos"/>
          <w:b/>
          <w:lang w:eastAsia="ru-RU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lang w:eastAsia="ru-RU"/>
        </w:rPr>
        <w:t xml:space="preserve">, зарегистрированному по адресу: </w:t>
      </w:r>
      <w:r>
        <w:rPr>
          <w:rFonts w:ascii="Tinos" w:hAnsi="Tinos" w:eastAsia="Tinos" w:cs="Tinos"/>
          <w:lang w:eastAsia="ru-RU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lang w:eastAsia="ru-RU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lang w:eastAsia="ru-RU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lang w:eastAsia="ru-RU"/>
        </w:rPr>
        <w:br/>
        <w:t xml:space="preserve">а также на представле</w:t>
      </w:r>
      <w:r>
        <w:rPr>
          <w:rFonts w:ascii="Tinos" w:hAnsi="Tinos" w:eastAsia="Tinos" w:cs="Tinos"/>
          <w:lang w:eastAsia="ru-RU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lang w:eastAsia="ru-RU"/>
        </w:rPr>
        <w:br/>
        <w:t xml:space="preserve">и бенефициаров.***</w:t>
      </w:r>
      <w:r>
        <w:rPr>
          <w:rFonts w:ascii="Tinos" w:hAnsi="Tinos" w:cs="Tinos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Цель обра</w:t>
      </w:r>
      <w:r>
        <w:rPr>
          <w:rFonts w:ascii="Tinos" w:hAnsi="Tinos" w:eastAsia="Tinos" w:cs="Tinos"/>
          <w:lang w:eastAsia="ru-RU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lang w:eastAsia="ru-RU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lang w:eastAsia="ru-RU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lang w:eastAsia="ru-RU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</w:rPr>
      </w:pPr>
      <w:r>
        <w:rPr>
          <w:rFonts w:ascii="Tinos" w:hAnsi="Tinos" w:eastAsia="Tinos" w:cs="Tinos"/>
          <w:lang w:eastAsia="ru-RU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lang w:eastAsia="ru-RU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</w:rPr>
      </w:pPr>
      <w:r>
        <w:rPr>
          <w:rFonts w:ascii="Tinos" w:hAnsi="Tinos" w:eastAsia="Tinos" w:cs="Tinos"/>
          <w:color w:val="000000"/>
          <w:lang w:eastAsia="ru-RU"/>
        </w:rPr>
        <w:t xml:space="preserve">___________________________                                 ___________________________</w:t>
      </w:r>
      <w:r>
        <w:rPr>
          <w:rFonts w:ascii="Tinos" w:hAnsi="Tinos" w:cs="Tinos"/>
          <w:color w:val="000000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  <w:lang w:eastAsia="ru-RU"/>
        </w:rPr>
        <w:t xml:space="preserve">М.П.</w:t>
      </w:r>
      <w:r>
        <w:rPr>
          <w:rFonts w:ascii="Tinos" w:hAnsi="Tinos" w:cs="Tinos"/>
          <w:b/>
          <w:bCs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lang w:eastAsia="ru-RU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lang w:eastAsia="ru-RU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lang w:eastAsia="ru-RU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lang w:eastAsia="ru-RU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</w:rPr>
      </w:r>
    </w:p>
    <w:p>
      <w:pPr>
        <w:ind w:firstLine="709"/>
        <w:jc w:val="both"/>
        <w:keepNext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lang w:eastAsia="ru-RU"/>
        </w:rPr>
        <w:t xml:space="preserve">*** Заполнени</w:t>
      </w:r>
      <w:r>
        <w:rPr>
          <w:rFonts w:ascii="Tinos" w:hAnsi="Tinos" w:eastAsia="Tinos" w:cs="Tinos"/>
          <w:lang w:eastAsia="ru-RU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lang w:eastAsia="ru-RU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lang w:eastAsia="ru-RU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lang w:eastAsia="ru-RU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  <w:r/>
      <w:r>
        <w:rPr>
          <w:rFonts w:ascii="Tinos" w:hAnsi="Tinos" w:cs="Tinos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4"/>
          <w:szCs w:val="24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4"/>
          <w:szCs w:val="24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hAnsi="Tinos" w:cs="Tinos"/>
          <w:b/>
          <w:bCs/>
          <w:sz w:val="24"/>
          <w:szCs w:val="24"/>
        </w:rPr>
      </w:r>
      <w:r>
        <w:rPr>
          <w:rFonts w:ascii="Tinos" w:hAnsi="Tinos" w:cs="Tinos"/>
          <w:b/>
          <w:bCs/>
          <w:sz w:val="24"/>
          <w:szCs w:val="24"/>
        </w:rPr>
      </w:r>
    </w:p>
    <w:p>
      <w:pPr>
        <w:pStyle w:val="1270"/>
        <w:numPr>
          <w:ilvl w:val="0"/>
          <w:numId w:val="6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5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</w:rPr>
      </w:r>
    </w:p>
    <w:p>
      <w:pPr>
        <w:pStyle w:val="1270"/>
        <w:numPr>
          <w:ilvl w:val="1"/>
          <w:numId w:val="66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В случае если соглас</w:t>
      </w:r>
      <w:r>
        <w:rPr>
          <w:rFonts w:ascii="Tinos" w:hAnsi="Tinos" w:eastAsia="Tinos" w:cs="Tinos"/>
          <w:color w:val="00000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В случае продления срока</w:t>
      </w:r>
      <w:r>
        <w:rPr>
          <w:rFonts w:ascii="Tinos" w:hAnsi="Tinos" w:eastAsia="Tinos" w:cs="Tinos"/>
          <w:color w:val="00000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7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</w:rPr>
      </w:r>
    </w:p>
    <w:p>
      <w:pPr>
        <w:pStyle w:val="1270"/>
        <w:numPr>
          <w:ilvl w:val="0"/>
          <w:numId w:val="68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 Если в проекте Дог</w:t>
      </w:r>
      <w:r>
        <w:rPr>
          <w:rFonts w:ascii="Tinos" w:hAnsi="Tinos" w:eastAsia="Tinos" w:cs="Tinos"/>
          <w:color w:val="00000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</w:rPr>
      </w:r>
    </w:p>
    <w:tbl>
      <w:tblPr>
        <w:tblW w:w="1017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4677"/>
        <w:gridCol w:w="5495"/>
      </w:tblGrid>
      <w:tr>
        <w:tblPrEx/>
        <w:trPr>
          <w:trHeight w:val="411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</w:t>
            </w:r>
            <w:r>
              <w:rPr>
                <w:rFonts w:ascii="Tinos" w:hAnsi="Tinos" w:eastAsia="Tinos" w:cs="Tinos"/>
              </w:rPr>
              <w:t xml:space="preserve"> </w:t>
            </w:r>
            <w:r>
              <w:rPr>
                <w:rFonts w:ascii="Tinos" w:hAnsi="Tinos" w:eastAsia="Tinos" w:cs="Tinos"/>
                <w:bCs/>
              </w:rPr>
              <w:t xml:space="preserve">____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394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 _____________20___г.</w:t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ind w:left="6803" w:firstLine="11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Приложение № 7 </w:t>
      </w:r>
      <w:r>
        <w:rPr>
          <w:rFonts w:ascii="Tinos" w:hAnsi="Tinos" w:cs="Tinos"/>
          <w:sz w:val="20"/>
          <w:szCs w:val="20"/>
        </w:rPr>
      </w:r>
    </w:p>
    <w:p>
      <w:pPr>
        <w:ind w:left="6803" w:firstLine="11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 w:firstLine="11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70"/>
        <w:ind w:left="6803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70"/>
        <w:ind w:left="0" w:firstLine="709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>
        <w:rPr>
          <w:rFonts w:ascii="Times New Roman" w:hAnsi="Times New Roman"/>
          <w:b/>
          <w:bCs/>
          <w:caps/>
          <w:sz w:val="26"/>
          <w:szCs w:val="26"/>
        </w:rPr>
        <w:t xml:space="preserve">Обеспечение исполнения обязательств</w:t>
      </w:r>
      <w:r>
        <w:rPr>
          <w:rStyle w:val="1288"/>
          <w:caps/>
          <w:sz w:val="26"/>
          <w:szCs w:val="26"/>
        </w:rPr>
        <w:footnoteReference w:id="10"/>
      </w:r>
      <w:r>
        <w:rPr>
          <w:rFonts w:ascii="Times New Roman" w:hAnsi="Times New Roman"/>
          <w:b/>
          <w:bCs/>
          <w:caps/>
          <w:sz w:val="26"/>
          <w:szCs w:val="26"/>
        </w:rPr>
      </w:r>
    </w:p>
    <w:p>
      <w:pPr>
        <w:pStyle w:val="1270"/>
        <w:ind w:lef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Надлежащее исполнение обязательств Поставщика по Договору обеспечивается одним из способов обеспечения: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Независимой гарантией.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Гарантийным депозитом, сформированным в порядке и в сумме, указанных в п. 18 настоящего приложения.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Обеспечительным платежом.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Независимой гарантией на исполнение Поставщиком обязательств по Договору (по форме приложения 10.1 к настоящему Договору) на сумму не менее 5% (пяти процентов) от начальной (максимальной) цены Договора (цены лота), но не </w:t>
      </w:r>
      <w:r>
        <w:rPr>
          <w:rFonts w:ascii="Times New Roman" w:hAnsi="Times New Roman"/>
          <w:sz w:val="26"/>
          <w:szCs w:val="26"/>
        </w:rPr>
        <w:t xml:space="preserve">менее 5% от цены Договора в случае,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</w:t>
      </w:r>
      <w:r>
        <w:rPr>
          <w:rFonts w:ascii="Times New Roman" w:hAnsi="Times New Roman"/>
          <w:sz w:val="26"/>
          <w:szCs w:val="26"/>
        </w:rPr>
        <w:t xml:space="preserve">нительного соглашения,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</w:t>
      </w:r>
      <w:r>
        <w:rPr>
          <w:rFonts w:ascii="Times New Roman" w:hAnsi="Times New Roman"/>
          <w:i/>
          <w:sz w:val="26"/>
          <w:szCs w:val="26"/>
        </w:rPr>
        <w:t xml:space="preserve">Документа о приемке Товара/последнего акта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/>
          <w:sz w:val="26"/>
          <w:szCs w:val="26"/>
        </w:rPr>
        <w:t xml:space="preserve"> и не должен быть ограничен сроком, указанным в п. 2.2 настоящего Договора.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п. 2.2 настоящего приложения.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Копия независимой гарантии должна быть представлена Поставщиком на согласование Покупателю не позднее чем через 10 (десять) рабочих дней после </w:t>
      </w:r>
      <w:r>
        <w:rPr>
          <w:rFonts w:ascii="Times New Roman" w:hAnsi="Times New Roman"/>
          <w:sz w:val="26"/>
          <w:szCs w:val="26"/>
        </w:rP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rPr>
          <w:rFonts w:ascii="Times New Roman" w:hAnsi="Times New Roman"/>
          <w:sz w:val="26"/>
          <w:szCs w:val="26"/>
        </w:rP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Покупатель вправе по</w:t>
      </w:r>
      <w:r>
        <w:rPr>
          <w:rFonts w:ascii="Times New Roman" w:hAnsi="Times New Roman"/>
          <w:sz w:val="26"/>
          <w:szCs w:val="26"/>
        </w:rPr>
        <w:t xml:space="preserve">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гарантии, при одновременном соблюдении следующих условий: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после достижения суммы поставленного Товара по догов</w:t>
      </w:r>
      <w:r>
        <w:rPr>
          <w:rFonts w:ascii="Times New Roman" w:hAnsi="Times New Roman"/>
          <w:sz w:val="26"/>
          <w:szCs w:val="26"/>
        </w:rPr>
        <w:t xml:space="preserve">ору, не предусматривающему авансовые платежи, в размере свыше 20% (двадцати процентов) от цены Договора, а по Договору, предусматривающему авансовые платежи, - в размере выплаченных авансовых платежей, но не менее 20% (двадцати процентов) от цены Договора;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10% (десяти процентов) от цены Договора;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отсутствует неурегулированная претензионно-исковая работа;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отсутствуют нарушения Поставщиком в части исполнения своих договорных обязательств.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</w:t>
      </w:r>
      <w:r>
        <w:rPr>
          <w:rFonts w:ascii="Times New Roman" w:hAnsi="Times New Roman"/>
          <w:sz w:val="26"/>
          <w:szCs w:val="26"/>
        </w:rPr>
        <w:t xml:space="preserve">ждается от исполнения обязательств, предусмотренных пп. 4, 10, 11, 12 настоящего приложения, в части предоставления дополнительных независимых гарантий на исполнение Поставщиком обязательств по Договору, продления или замены указанных независимых гарантий.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Возврат авансовых платежей и/или исполнение Поставщиком обязательств по Договору, и/или гарантийные обяза</w:t>
      </w:r>
      <w:r>
        <w:rPr>
          <w:rFonts w:ascii="Times New Roman" w:hAnsi="Times New Roman"/>
          <w:sz w:val="26"/>
          <w:szCs w:val="26"/>
        </w:rPr>
        <w:t xml:space="preserve">тельства могут обеспечиваться единой независимой гарантией (по форме приложения 10.3 к настоящему Договору) на сумму не менее размера аванса, предусмотренного Договором (либо на часть суммы аванса по согласованию с Покупателем), но в любом случае не менее </w:t>
      </w:r>
      <w:r>
        <w:rPr>
          <w:rFonts w:ascii="Times New Roman" w:hAnsi="Times New Roman"/>
          <w:sz w:val="26"/>
          <w:szCs w:val="26"/>
        </w:rPr>
        <w:t xml:space="preserve">5% от начальной (максимальной) цены Договора (цены лота) и не менее 5% от цены Договора, в случае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</w:t>
      </w:r>
      <w:r>
        <w:rPr>
          <w:rFonts w:ascii="Times New Roman" w:hAnsi="Times New Roman"/>
          <w:sz w:val="26"/>
          <w:szCs w:val="26"/>
        </w:rPr>
        <w:t xml:space="preserve">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обеспечение в том числе гарантийных обязательств по Договору.*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*Примечание: решение о предоставлении Поставщиком единой независимой гарантии по Договору принимается Покупателем на основании письменного обращения Поставщика. </w:t>
      </w:r>
      <w:r>
        <w:rPr>
          <w:rFonts w:ascii="Times New Roman" w:hAnsi="Times New Roman"/>
          <w:b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допускается предоставление нескольких единых независимых гарантий, совокупная сумма которых соответствует сумме независимой гарантии, предусмотренной п. 2.4 настоящего приложения.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Копия независимой гарантии должна быть представлена Поставщиком на согласование Покупателю не позднее чем через 10 (десять) рабочих дней после вступления в силу протокола подведения итогов,</w:t>
      </w:r>
      <w:r>
        <w:rPr>
          <w:rFonts w:ascii="Times New Roman" w:hAnsi="Times New Roman"/>
          <w:sz w:val="26"/>
          <w:szCs w:val="26"/>
        </w:rPr>
        <w:t xml:space="preserve">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позднее 1 (одного) рабочего дня до даты заключения Договора.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tabs>
          <w:tab w:val="left" w:pos="4395" w:leader="none"/>
        </w:tabs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соглашению Сторон сумма обеспечения по единой независимой гарантии, включающей обеспечение обязательств по возврату авансовых платежей, может быть уменьшена пропорционально стоимости Товара, в отношении которого оформлены Документы о приемке Товара /</w:t>
      </w:r>
      <w:r>
        <w:rPr>
          <w:rFonts w:ascii="Times New Roman" w:hAnsi="Times New Roman"/>
          <w:i/>
          <w:sz w:val="26"/>
          <w:szCs w:val="26"/>
        </w:rPr>
        <w:t xml:space="preserve"> акты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/>
          <w:sz w:val="26"/>
          <w:szCs w:val="26"/>
        </w:rPr>
        <w:t xml:space="preserve">. В этом случае сумма единой независимой гарантии должна быть не менее суммы непогашенного (неотработанного) аванса, но в любом случае не</w:t>
      </w:r>
      <w:r>
        <w:rPr>
          <w:rFonts w:ascii="Times New Roman" w:hAnsi="Times New Roman"/>
          <w:sz w:val="26"/>
          <w:szCs w:val="26"/>
        </w:rPr>
        <w:t xml:space="preserve"> менее 5% (пяти процентов) от начальной (максимальной) цены Договора (цены лота) и не менее 5% (пяти процентов) от цены Договора в случае, если цена Договора в редакции дополнительных соглашений превысила начальную (максимальную) цену Договора (цену лота).</w:t>
      </w:r>
      <w:r>
        <w:rPr>
          <w:rFonts w:ascii="Times New Roman" w:hAnsi="Times New Roman"/>
          <w:b/>
          <w:i/>
          <w:sz w:val="26"/>
          <w:szCs w:val="26"/>
        </w:rPr>
      </w:r>
    </w:p>
    <w:p>
      <w:pPr>
        <w:pStyle w:val="1270"/>
        <w:numPr>
          <w:ilvl w:val="0"/>
          <w:numId w:val="71"/>
        </w:numPr>
        <w:ind w:left="0" w:firstLine="709"/>
        <w:jc w:val="both"/>
        <w:tabs>
          <w:tab w:val="left" w:pos="851" w:leader="none"/>
          <w:tab w:val="left" w:pos="993" w:leader="none"/>
        </w:tabs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Если во исполнение обязательств по До</w:t>
      </w:r>
      <w:r>
        <w:rPr>
          <w:rFonts w:ascii="Times New Roman" w:hAnsi="Times New Roman"/>
          <w:sz w:val="26"/>
          <w:szCs w:val="26"/>
        </w:rPr>
        <w:t xml:space="preserve">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Покупателя, является общая сумма обязательств по таким гарантиям.</w:t>
      </w:r>
      <w:r>
        <w:rPr>
          <w:rFonts w:ascii="Times New Roman" w:hAnsi="Times New Roman"/>
          <w:b/>
          <w:i/>
          <w:sz w:val="26"/>
          <w:szCs w:val="26"/>
        </w:rPr>
      </w:r>
    </w:p>
    <w:p>
      <w:pPr>
        <w:pStyle w:val="1270"/>
        <w:numPr>
          <w:ilvl w:val="0"/>
          <w:numId w:val="71"/>
        </w:numPr>
        <w:ind w:left="0" w:firstLine="698"/>
        <w:jc w:val="both"/>
        <w:widowControl/>
        <w:tabs>
          <w:tab w:val="left" w:pos="993" w:leader="none"/>
        </w:tabs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 товара /</w:t>
      </w:r>
      <w:r>
        <w:rPr>
          <w:rFonts w:ascii="Times New Roman" w:hAnsi="Times New Roman"/>
          <w:i/>
          <w:sz w:val="26"/>
          <w:szCs w:val="26"/>
        </w:rPr>
        <w:t xml:space="preserve"> актов оказания дополнительных услуг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(в случае наличия соответствующих услуг в предмете Договора)</w:t>
      </w:r>
      <w:r>
        <w:rPr>
          <w:rFonts w:ascii="Times New Roman" w:hAnsi="Times New Roman"/>
          <w:sz w:val="26"/>
          <w:szCs w:val="26"/>
        </w:rPr>
        <w:t xml:space="preserve">, Поставщик обязан в сроки, установленные п. 8 настоящего приложения, представить на согласование Покупателю копию незав</w:t>
      </w:r>
      <w:r>
        <w:rPr>
          <w:rFonts w:ascii="Times New Roman" w:hAnsi="Times New Roman"/>
          <w:sz w:val="26"/>
          <w:szCs w:val="26"/>
        </w:rPr>
        <w:t xml:space="preserve">исимой гарантии/ изменения к действующей независимой гарантии. Оригинал независимой гарантии/ изменения к действующей независимой гарантии, согласованной/согласованного Покупателем, должен быть представлен не позднее чем за 1 (один) рабочий день до даты за</w:t>
      </w:r>
      <w:r>
        <w:rPr>
          <w:rFonts w:ascii="Times New Roman" w:hAnsi="Times New Roman"/>
          <w:sz w:val="26"/>
          <w:szCs w:val="26"/>
        </w:rPr>
        <w:t xml:space="preserve">ключения дополнительного соглашения. Срок действия для независимой гарантии на возврат авансовых платежей и/или независимой гарантии на исполнение Поставщиком обязательств по Договору должен начинаться не позднее даты подписания дополнительного соглашения </w:t>
      </w:r>
      <w:r>
        <w:rPr>
          <w:rFonts w:ascii="Times New Roman" w:hAnsi="Times New Roman"/>
          <w:sz w:val="26"/>
          <w:szCs w:val="26"/>
        </w:rPr>
        <w:br/>
        <w:t xml:space="preserve">и заканчиваться не ранее чем через 60 (шестьдесят) дней после новой даты подписания последнего Документа о приемке Товара / </w:t>
      </w:r>
      <w:r>
        <w:rPr>
          <w:rFonts w:ascii="Times New Roman" w:hAnsi="Times New Roman"/>
          <w:i/>
          <w:sz w:val="26"/>
          <w:szCs w:val="26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/>
          <w:sz w:val="26"/>
          <w:szCs w:val="26"/>
        </w:rPr>
        <w:t xml:space="preserve">. Срок действия для единой независимой гарантии должен начинат</w:t>
      </w:r>
      <w:r>
        <w:rPr>
          <w:rFonts w:ascii="Times New Roman" w:hAnsi="Times New Roman"/>
          <w:sz w:val="26"/>
          <w:szCs w:val="26"/>
        </w:rPr>
        <w:t xml:space="preserve">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срока, если независимая гарантия выдана в обеспечение в том числе гарантийных обязательств по Договору</w:t>
      </w:r>
      <w:r>
        <w:rPr>
          <w:rFonts w:ascii="Times New Roman" w:hAnsi="Times New Roman"/>
          <w:sz w:val="26"/>
          <w:szCs w:val="26"/>
        </w:rPr>
        <w:t xml:space="preserve">.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срока. </w:t>
      </w:r>
      <w:r>
        <w:rPr>
          <w:rFonts w:ascii="Times New Roman" w:hAnsi="Times New Roman"/>
          <w:b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этом: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i/>
          <w:sz w:val="26"/>
          <w:szCs w:val="26"/>
        </w:rPr>
        <w:t xml:space="preserve">размер независимой гарантии на возврат Поставщиком авансовых платежей определяется не менее суммы авансовых платежей, предусмотренных Договором в редакции дополнительного соглашения, с учетом ранее зачтенных авансов</w:t>
      </w:r>
      <w:r>
        <w:rPr>
          <w:rFonts w:ascii="Times New Roman" w:hAnsi="Times New Roman"/>
          <w:sz w:val="26"/>
          <w:szCs w:val="26"/>
        </w:rPr>
        <w:t xml:space="preserve">;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i/>
          <w:sz w:val="26"/>
          <w:szCs w:val="26"/>
        </w:rPr>
        <w:t xml:space="preserve">размер независимой гарантии на исполнение Поставщиком обязательств по Договору определяется как максимальная из сумм: 5% (пять процентов) от н</w:t>
      </w:r>
      <w:r>
        <w:rPr>
          <w:rFonts w:ascii="Times New Roman" w:hAnsi="Times New Roman"/>
          <w:i/>
          <w:sz w:val="26"/>
          <w:szCs w:val="26"/>
        </w:rPr>
        <w:t xml:space="preserve">ачальной (максимальной) цены Договора (цены лота) или 5% (пять процентов) от цены Договора в редакции Дополнительного соглашения, в случае если цена Договора в редакции дополнительных соглашений превысила начальную (максимальную) цену Договора (цену лота);</w:t>
      </w:r>
      <w:r>
        <w:rPr>
          <w:rFonts w:ascii="Times New Roman" w:hAnsi="Times New Roman"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размер независимой гарантии на обеспечение гарантийных обязательств определяется не менее 5% (пяти процентов) от цены Договора в редакции Дополнительного соглашения;</w:t>
      </w:r>
      <w:r>
        <w:rPr>
          <w:rFonts w:ascii="Times New Roman" w:hAnsi="Times New Roman"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размер единой независимой гарантии (включающей обеспечение обязательств по возврату авансовых платежей, обеспечение исполнения обязательств по договору и обеспечение гарантийных обязательст</w:t>
      </w:r>
      <w:r>
        <w:rPr>
          <w:rFonts w:ascii="Times New Roman" w:hAnsi="Times New Roman"/>
          <w:i/>
          <w:sz w:val="26"/>
          <w:szCs w:val="26"/>
        </w:rPr>
        <w:t xml:space="preserve">в) определяется как максимальная из сумм: 5% (пять процентов) от начальной (максимальной) цены Договора (цены лота) или 5% (пять процентов) от цены Договора в редакции Дополнительного соглашения или суммы непогашенного (неотработанного) авансового платежа.</w:t>
      </w:r>
      <w:r>
        <w:rPr>
          <w:rFonts w:ascii="Times New Roman" w:hAnsi="Times New Roman"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этом:</w:t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размер независимой гарантии на исполнение обязательств по Договору определяется</w:t>
      </w:r>
      <w:r>
        <w:rPr>
          <w:rFonts w:ascii="Times New Roman" w:hAnsi="Times New Roman"/>
          <w:sz w:val="26"/>
          <w:szCs w:val="26"/>
        </w:rPr>
        <w:t xml:space="preserve"> как максимальная из сумм: 5% (пять процентов) от начальной (максимальной) цены Договора (цены лота) или 5% (пять процентов) от цены Договора в редакции Дополнительного соглашения или суммы непогашенного (неотработанного) аванса;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размер независимой гарантии обеспечения гарантийных обязательств определяется не менее 5% (пяти процентов) от цены Договора в редакции Дополнительного соглашения.</w:t>
      </w:r>
      <w:r>
        <w:rPr>
          <w:rFonts w:ascii="Times New Roman" w:hAnsi="Times New Roman"/>
          <w:i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Заказчиком независимой гарантии Подрядчик обязан предста</w:t>
      </w:r>
      <w:r>
        <w:rPr>
          <w:rFonts w:ascii="Times New Roman" w:hAnsi="Times New Roman"/>
          <w:sz w:val="26"/>
          <w:szCs w:val="26"/>
        </w:rP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>
        <w:rPr>
          <w:rFonts w:ascii="Times New Roman" w:hAnsi="Times New Roman"/>
          <w:sz w:val="26"/>
          <w:szCs w:val="26"/>
        </w:rPr>
      </w:r>
    </w:p>
    <w:p>
      <w:pPr>
        <w:pStyle w:val="1305"/>
        <w:ind w:left="709"/>
        <w:jc w:val="both"/>
        <w:spacing w:before="0" w:after="0" w:line="240" w:lineRule="auto"/>
        <w:widowControl w:val="off"/>
        <w:tabs>
          <w:tab w:val="left" w:pos="168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5.1. Если сумма независимой гарантии</w:t>
      </w:r>
      <w:r>
        <w:rPr>
          <w:rStyle w:val="1288"/>
          <w:rFonts w:eastAsia="Calibri"/>
          <w:sz w:val="26"/>
          <w:szCs w:val="26"/>
        </w:rPr>
        <w:footnoteReference w:id="11"/>
      </w:r>
      <w:r>
        <w:rPr>
          <w:b w:val="0"/>
          <w:sz w:val="26"/>
          <w:szCs w:val="26"/>
        </w:rPr>
        <w:t xml:space="preserve"> превышает 15 млн. рублей: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168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288"/>
          <w:sz w:val="26"/>
          <w:szCs w:val="26"/>
        </w:rPr>
        <w:footnoteReference w:id="12"/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168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left" w:pos="1985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в случае оформления независимой гарантии обособленными структурным</w:t>
      </w:r>
      <w:r>
        <w:rPr>
          <w:b w:val="0"/>
          <w:sz w:val="26"/>
          <w:szCs w:val="26"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rPr>
          <w:b w:val="0"/>
          <w:sz w:val="26"/>
          <w:szCs w:val="26"/>
        </w:rPr>
        <w:t xml:space="preserve">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случае если в доверенности на право подписания независимой гарантии имеются ограничения (подписа</w:t>
      </w:r>
      <w:r>
        <w:rPr>
          <w:b w:val="0"/>
          <w:sz w:val="26"/>
          <w:szCs w:val="26"/>
        </w:rPr>
        <w:t xml:space="preserve">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rPr>
          <w:b w:val="0"/>
          <w:sz w:val="26"/>
          <w:szCs w:val="26"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b w:val="0"/>
          <w:sz w:val="26"/>
          <w:szCs w:val="26"/>
        </w:rP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выписка из Единого государстве</w:t>
      </w:r>
      <w:r>
        <w:rPr>
          <w:b w:val="0"/>
          <w:sz w:val="26"/>
          <w:szCs w:val="26"/>
        </w:rPr>
        <w:t xml:space="preserve">нного реестра юридических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>
        <w:rPr>
          <w:b w:val="0"/>
          <w:sz w:val="26"/>
          <w:szCs w:val="26"/>
          <w:lang w:val="en-US"/>
        </w:rPr>
        <w:t xml:space="preserve">https</w:t>
      </w:r>
      <w:r>
        <w:rPr>
          <w:b w:val="0"/>
          <w:sz w:val="26"/>
          <w:szCs w:val="26"/>
        </w:rPr>
        <w:t xml:space="preserve">://</w:t>
      </w:r>
      <w:r>
        <w:rPr>
          <w:b w:val="0"/>
          <w:sz w:val="26"/>
          <w:szCs w:val="26"/>
          <w:lang w:val="en-US"/>
        </w:rPr>
        <w:t xml:space="preserve">egrul</w:t>
      </w:r>
      <w:r>
        <w:rPr>
          <w:b w:val="0"/>
          <w:sz w:val="26"/>
          <w:szCs w:val="26"/>
        </w:rPr>
        <w:t xml:space="preserve">.</w:t>
      </w:r>
      <w:r>
        <w:rPr>
          <w:b w:val="0"/>
          <w:sz w:val="26"/>
          <w:szCs w:val="26"/>
          <w:lang w:val="en-US"/>
        </w:rPr>
        <w:t xml:space="preserve">nalog</w:t>
      </w:r>
      <w:r>
        <w:rPr>
          <w:b w:val="0"/>
          <w:sz w:val="26"/>
          <w:szCs w:val="26"/>
        </w:rPr>
        <w:t xml:space="preserve">/</w:t>
      </w:r>
      <w:r>
        <w:rPr>
          <w:b w:val="0"/>
          <w:sz w:val="26"/>
          <w:szCs w:val="26"/>
          <w:lang w:val="en-US"/>
        </w:rPr>
        <w:t xml:space="preserve">ru</w:t>
      </w:r>
      <w:r>
        <w:rPr>
          <w:b w:val="0"/>
          <w:sz w:val="26"/>
          <w:szCs w:val="26"/>
        </w:rPr>
        <w:t xml:space="preserve">/).</w:t>
      </w:r>
      <w:r>
        <w:rPr>
          <w:b w:val="0"/>
          <w:sz w:val="26"/>
          <w:szCs w:val="26"/>
        </w:rPr>
      </w:r>
    </w:p>
    <w:p>
      <w:pPr>
        <w:pStyle w:val="1305"/>
        <w:ind w:firstLine="720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5.2.</w:t>
      </w:r>
      <w:r>
        <w:rPr>
          <w:b w:val="0"/>
          <w:sz w:val="26"/>
          <w:szCs w:val="26"/>
        </w:rPr>
        <w:tab/>
        <w:t xml:space="preserve">Если сумма независимой гарантии</w:t>
      </w:r>
      <w:r>
        <w:rPr>
          <w:rStyle w:val="1288"/>
          <w:rFonts w:eastAsia="Calibri"/>
          <w:sz w:val="26"/>
          <w:szCs w:val="26"/>
        </w:rPr>
        <w:footnoteReference w:id="13"/>
      </w:r>
      <w:r>
        <w:rPr>
          <w:b w:val="0"/>
          <w:sz w:val="26"/>
          <w:szCs w:val="26"/>
        </w:rPr>
        <w:t xml:space="preserve"> не превышает 15 млн. рублей:</w:t>
      </w:r>
      <w:r>
        <w:rPr>
          <w:b w:val="0"/>
          <w:sz w:val="26"/>
          <w:szCs w:val="26"/>
        </w:rPr>
      </w:r>
    </w:p>
    <w:p>
      <w:pPr>
        <w:pStyle w:val="1305"/>
        <w:ind w:firstLine="720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 w:val="0"/>
          <w:sz w:val="26"/>
          <w:szCs w:val="26"/>
        </w:rPr>
      </w:r>
    </w:p>
    <w:p>
      <w:pPr>
        <w:pStyle w:val="1305"/>
        <w:ind w:firstLine="720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rPr>
          <w:b w:val="0"/>
          <w:sz w:val="26"/>
          <w:szCs w:val="26"/>
        </w:rP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>
        <w:rPr>
          <w:b w:val="0"/>
          <w:sz w:val="26"/>
          <w:szCs w:val="26"/>
        </w:rPr>
      </w:r>
    </w:p>
    <w:p>
      <w:pPr>
        <w:pStyle w:val="1305"/>
        <w:ind w:firstLine="720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случае если в доверенности на право подписания независимой гарантии имеются ограничения</w:t>
      </w:r>
      <w:r>
        <w:rPr>
          <w:b w:val="0"/>
          <w:sz w:val="26"/>
          <w:szCs w:val="26"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случае отказа Гаранта после письменного запроса Покупателя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rPr>
          <w:b w:val="0"/>
          <w:sz w:val="26"/>
          <w:szCs w:val="26"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b w:val="0"/>
          <w:sz w:val="26"/>
          <w:szCs w:val="26"/>
        </w:rPr>
        <w:t xml:space="preserve">олжностных лиц Гаранта, перечисленных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5.3. Гарантов, не находящихся под прямым или косвенным контролем Российской Федерации, либо Банка России</w:t>
      </w:r>
      <w:r>
        <w:rPr>
          <w:rStyle w:val="1288"/>
          <w:sz w:val="26"/>
          <w:szCs w:val="26"/>
        </w:rPr>
        <w:footnoteReference w:id="14"/>
      </w:r>
      <w:r>
        <w:rPr>
          <w:b w:val="0"/>
          <w:sz w:val="26"/>
          <w:szCs w:val="26"/>
        </w:rPr>
        <w:t xml:space="preserve"> дополнительно представляются следующие документы</w:t>
      </w:r>
      <w:r>
        <w:rPr>
          <w:rStyle w:val="1288"/>
          <w:szCs w:val="26"/>
        </w:rPr>
        <w:footnoteReference w:id="15"/>
      </w:r>
      <w:r>
        <w:rPr>
          <w:b w:val="0"/>
          <w:sz w:val="26"/>
          <w:szCs w:val="26"/>
        </w:rPr>
        <w:t xml:space="preserve">:</w:t>
      </w:r>
      <w:r>
        <w:rPr>
          <w:b w:val="0"/>
          <w:sz w:val="26"/>
          <w:szCs w:val="26"/>
        </w:rPr>
      </w:r>
    </w:p>
    <w:p>
      <w:pPr>
        <w:pStyle w:val="1305"/>
        <w:numPr>
          <w:ilvl w:val="0"/>
          <w:numId w:val="72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форма банковской отчетности по РСБУ № 808 или № 123 (копия, заверенная Гарантом) ил</w:t>
      </w:r>
      <w:r>
        <w:rPr>
          <w:b w:val="0"/>
          <w:sz w:val="26"/>
          <w:szCs w:val="26"/>
        </w:rPr>
        <w:t xml:space="preserve">и официальное письмо от Гаранта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раскрывают указанные формы/информацию на официальном сайте Банка России (</w:t>
      </w:r>
      <w:r>
        <w:rPr>
          <w:b w:val="0"/>
          <w:bCs w:val="0"/>
          <w:sz w:val="26"/>
          <w:szCs w:val="26"/>
        </w:rPr>
        <w:t xml:space="preserve">http://www.cbr.ru/credit/</w:t>
      </w:r>
      <w:r>
        <w:rPr>
          <w:b w:val="0"/>
          <w:sz w:val="26"/>
          <w:szCs w:val="26"/>
        </w:rPr>
        <w:t xml:space="preserve">);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69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письмо Гаранта о не нахождении </w:t>
      </w:r>
      <w:r>
        <w:rPr>
          <w:b w:val="0"/>
          <w:sz w:val="26"/>
          <w:szCs w:val="26"/>
        </w:rPr>
        <w:t xml:space="preserve">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5.4. Иные документы по запросу Покупателя.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5.5.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Поря</w:t>
      </w:r>
      <w:r>
        <w:rPr>
          <w:b w:val="0"/>
          <w:sz w:val="26"/>
          <w:szCs w:val="26"/>
        </w:rP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</w:t>
      </w:r>
      <w:r>
        <w:rPr>
          <w:b w:val="0"/>
          <w:sz w:val="26"/>
          <w:szCs w:val="26"/>
        </w:rPr>
        <w:tab/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>
        <w:rPr>
          <w:b w:val="0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</w:t>
      </w:r>
      <w:r>
        <w:rPr>
          <w:b w:val="0"/>
          <w:sz w:val="26"/>
          <w:szCs w:val="26"/>
        </w:rPr>
        <w:tab/>
        <w:t xml:space="preserve">независимая гарантия не считается предоставленной Поставщиком (полученной Покупателем) до момента ее согласования Покупателем </w:t>
      </w:r>
      <w:r>
        <w:rPr>
          <w:b w:val="0"/>
          <w:sz w:val="26"/>
          <w:szCs w:val="26"/>
        </w:rPr>
        <w:t xml:space="preserve">в соответствии с требованиями настоящего Порядка и фиксации сторонами факта передачи независимой гарантии от Подрядчика Заказчику (подписания акта-приема передачи независимой гарантии, допускается подписание акта-приема передачи независимой гарантии УКЭП).</w:t>
      </w:r>
      <w:r>
        <w:rPr>
          <w:b w:val="0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Покупатель уведомляет Поставщика о результатах согласования независимой гарантии в письменной форме.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В случае наличия у Покупателя надлеж</w:t>
      </w:r>
      <w:r>
        <w:rPr>
          <w:rFonts w:ascii="Times New Roman" w:hAnsi="Times New Roman"/>
          <w:sz w:val="26"/>
          <w:szCs w:val="26"/>
        </w:rPr>
        <w:t xml:space="preserve">ащим образом заверенных копий, указанных в п. 5 настоящего приложения документов, полученных из других источников, Покупатель может согласовать отсутствие необходимости предоставления отдельных указанных в п. 5 настоящего приложения документов Поставщиком.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отсутствии указанных в п. 5 настоящего приложения документов независимая гарантия Покупателем не принимается.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Копия независимой г</w:t>
      </w:r>
      <w:r>
        <w:rPr>
          <w:rFonts w:ascii="Times New Roman" w:hAnsi="Times New Roman"/>
          <w:sz w:val="26"/>
          <w:szCs w:val="26"/>
        </w:rPr>
        <w:t xml:space="preserve">арантии и указанные в п. 5 настоящего приложения документы должны быть представлены Поставщиком на согласование Покупателя не позднее чем за 10 (десять) рабочих дней до планируемой даты представления Покупателю оригинала согласованной независимой гарантии.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В случае предоставления Поставщиком </w:t>
      </w:r>
      <w:r>
        <w:rPr>
          <w:rFonts w:ascii="Times New Roman" w:hAnsi="Times New Roman" w:cs="Times New Roman"/>
          <w:sz w:val="26"/>
          <w:szCs w:val="26"/>
        </w:rP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 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</w:t>
      </w:r>
      <w:r>
        <w:rPr>
          <w:rFonts w:ascii="Times New Roman" w:hAnsi="Times New Roman"/>
          <w:sz w:val="26"/>
          <w:szCs w:val="26"/>
        </w:rP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rPr>
          <w:rFonts w:ascii="Times New Roman" w:hAnsi="Times New Roman"/>
          <w:sz w:val="26"/>
          <w:szCs w:val="26"/>
        </w:rP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b w:val="0"/>
          <w:sz w:val="26"/>
          <w:szCs w:val="26"/>
          <w:lang w:eastAsia="en-US"/>
        </w:rPr>
        <w:outlineLvl w:val="1"/>
      </w:pPr>
      <w:r>
        <w:rPr>
          <w:b w:val="0"/>
          <w:sz w:val="26"/>
          <w:szCs w:val="26"/>
          <w:lang w:eastAsia="en-US"/>
        </w:rPr>
        <w:t xml:space="preserve">Новые независимые гарантии / изменения к действующим независимым гарантиям на возврат авансовых платежей и/или на исполне</w:t>
      </w:r>
      <w:r>
        <w:rPr>
          <w:b w:val="0"/>
          <w:sz w:val="26"/>
          <w:szCs w:val="26"/>
          <w:lang w:eastAsia="en-US"/>
        </w:rPr>
        <w:t xml:space="preserve">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товара /</w:t>
      </w:r>
      <w:r>
        <w:rPr>
          <w:b w:val="0"/>
          <w:i/>
          <w:sz w:val="26"/>
          <w:szCs w:val="26"/>
        </w:rPr>
        <w:t xml:space="preserve"> </w:t>
      </w:r>
      <w:r>
        <w:rPr>
          <w:b w:val="0"/>
          <w:i/>
          <w:sz w:val="26"/>
          <w:szCs w:val="26"/>
          <w:lang w:eastAsia="en-US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b w:val="0"/>
          <w:sz w:val="26"/>
          <w:szCs w:val="26"/>
          <w:lang w:eastAsia="en-US"/>
        </w:rPr>
        <w:t xml:space="preserve">.</w:t>
      </w:r>
      <w:r>
        <w:rPr>
          <w:b w:val="0"/>
          <w:sz w:val="26"/>
          <w:szCs w:val="26"/>
          <w:lang w:eastAsia="en-US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b w:val="0"/>
          <w:sz w:val="26"/>
          <w:szCs w:val="26"/>
          <w:lang w:eastAsia="en-US"/>
        </w:rPr>
        <w:outlineLvl w:val="1"/>
      </w:pPr>
      <w:r>
        <w:rPr>
          <w:b w:val="0"/>
          <w:sz w:val="26"/>
          <w:szCs w:val="26"/>
          <w:lang w:eastAsia="en-US"/>
        </w:rPr>
        <w:t xml:space="preserve">В случае продления гарантийного срока, установленного согласно статье 12 настоящего Дого</w:t>
      </w:r>
      <w:r>
        <w:rPr>
          <w:b w:val="0"/>
          <w:sz w:val="26"/>
          <w:szCs w:val="26"/>
          <w:lang w:eastAsia="en-US"/>
        </w:rPr>
        <w:t xml:space="preserve">вора (независимо от того, изменялись ли сроки по взаимному соглашению Сторон, имело место неисполнение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</w:t>
      </w:r>
      <w:r>
        <w:rPr>
          <w:b w:val="0"/>
          <w:sz w:val="26"/>
          <w:szCs w:val="26"/>
          <w:lang w:eastAsia="en-US"/>
        </w:rPr>
        <w:t xml:space="preserve">рительно согласованную Покупателем независимую гарантию на обеспечение гарантийных обязательств или единую независимую гарантию / изменения к действующим независимым гарантиям в течение 20 (двадцати) рабочих дней с даты, когда Поставщик узнал или должен бы</w:t>
      </w:r>
      <w:r>
        <w:rPr>
          <w:b w:val="0"/>
          <w:sz w:val="26"/>
          <w:szCs w:val="26"/>
          <w:lang w:eastAsia="en-US"/>
        </w:rPr>
        <w:t xml:space="preserve">л узнать о несоответствии срока действия независимой гарантии требованиям, установленным пп. 2.3, 2.4 настоящего Договора, но не позднее чем за 60 (шестьдесят) дней до даты окончания действия независимой гарантий, обеспечивающей гарантийные обязательства. </w:t>
      </w:r>
      <w:r>
        <w:rPr>
          <w:b w:val="0"/>
          <w:sz w:val="26"/>
          <w:szCs w:val="26"/>
          <w:lang w:eastAsia="en-US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b w:val="0"/>
          <w:sz w:val="26"/>
          <w:szCs w:val="26"/>
        </w:rPr>
        <w:outlineLvl w:val="1"/>
      </w:pPr>
      <w:r>
        <w:rPr>
          <w:b w:val="0"/>
          <w:sz w:val="26"/>
          <w:szCs w:val="26"/>
          <w:lang w:eastAsia="en-US"/>
        </w:rPr>
        <w:t xml:space="preserve">Новая независимая гарантия на обеспечение гарантийных обязательств или единая независимая гарантия, включающая обеспечение гарантийных обязательств</w:t>
      </w:r>
      <w:r>
        <w:rPr>
          <w:b w:val="0"/>
          <w:sz w:val="26"/>
          <w:szCs w:val="26"/>
          <w:lang w:eastAsia="en-US"/>
        </w:rPr>
        <w:t xml:space="preserve">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Договору.</w:t>
      </w:r>
      <w:r>
        <w:rPr>
          <w:b w:val="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Примечание: Устанавливаемые пунктом 10 требования подлежат корректировке с учетом положений пункта 2.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В случае отзыва или приостановления лицензии Гаранта на банковскую деятельность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или аннулирования лицензии Гаранта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принятая независимая гарантия такого Гаранта подлежит замен</w:t>
      </w:r>
      <w:r>
        <w:rPr>
          <w:rFonts w:ascii="Times New Roman" w:hAnsi="Times New Roman" w:cs="Times New Roman"/>
          <w:sz w:val="26"/>
          <w:szCs w:val="26"/>
        </w:rPr>
        <w:t xml:space="preserve">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 </w:t>
      </w:r>
      <w:r>
        <w:rPr>
          <w:rStyle w:val="1288"/>
          <w:sz w:val="26"/>
          <w:szCs w:val="26"/>
        </w:rPr>
        <w:footnoteReference w:id="16"/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288"/>
          <w:sz w:val="26"/>
          <w:szCs w:val="26"/>
        </w:rPr>
        <w:footnoteReference w:id="17"/>
      </w:r>
      <w:r>
        <w:rPr>
          <w:rFonts w:ascii="Times New Roman" w:hAnsi="Times New Roman" w:cs="Times New Roman"/>
          <w:sz w:val="26"/>
          <w:szCs w:val="26"/>
        </w:rPr>
        <w:t xml:space="preserve">, принятая независимая гарантия такого Гаранта подлежит замене. Поставщи</w:t>
      </w:r>
      <w:r>
        <w:rPr>
          <w:rFonts w:ascii="Times New Roman" w:hAnsi="Times New Roman" w:cs="Times New Roman"/>
          <w:sz w:val="26"/>
          <w:szCs w:val="26"/>
        </w:rP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13. Условия независимых гарантий, п</w:t>
      </w:r>
      <w:r>
        <w:rPr>
          <w:rFonts w:ascii="Times New Roman" w:hAnsi="Times New Roman"/>
          <w:sz w:val="26"/>
          <w:szCs w:val="26"/>
        </w:rP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обязательств.* 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14. По согласованию с Покупателем допускается предоставление независимых гарантий со сроком действия менее предусмотренного п. 2 нас</w:t>
      </w:r>
      <w:r>
        <w:rPr>
          <w:rFonts w:ascii="Times New Roman" w:hAnsi="Times New Roman"/>
          <w:sz w:val="26"/>
          <w:szCs w:val="26"/>
        </w:rPr>
        <w:t xml:space="preserve">тоящего приложения, но не менее 1 (одного) года с даты начала действия независимых гарантий. В этом случае Поставщик обязан обеспечить замену предоставленных независимых гарантий в срок не позднее чем за 60 (шестьдесят) дней до окончания их срока действия.</w:t>
      </w:r>
      <w:r>
        <w:rPr>
          <w:rFonts w:ascii="Times New Roman" w:hAnsi="Times New Roman"/>
          <w:i/>
          <w:iCs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 Оригиналы независимых гарантий передаются между уполномоченными представителями Сторон с оформление</w:t>
      </w:r>
      <w:r>
        <w:rPr>
          <w:rFonts w:ascii="Times New Roman" w:hAnsi="Times New Roman"/>
          <w:sz w:val="26"/>
          <w:szCs w:val="26"/>
        </w:rP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>
        <w:rPr>
          <w:rFonts w:ascii="Times New Roman" w:hAnsi="Times New Roman"/>
          <w:i/>
          <w:iCs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16. В случае замены Поставщиком независимой гарантии дру</w:t>
      </w:r>
      <w:r>
        <w:rPr>
          <w:rFonts w:ascii="Times New Roman" w:hAnsi="Times New Roman"/>
          <w:sz w:val="26"/>
          <w:szCs w:val="26"/>
        </w:rPr>
        <w:t xml:space="preserve">гой независимой гарантией или иным способом обеспечения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</w:t>
      </w:r>
      <w:r>
        <w:rPr>
          <w:rFonts w:ascii="Times New Roman" w:hAnsi="Times New Roman"/>
          <w:sz w:val="26"/>
          <w:szCs w:val="26"/>
        </w:rPr>
        <w:t xml:space="preserve">ного запроса Поставщика на возврат независимой 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17. Если Покупатель не предъявлял требования Гаранту о платеже по независимой гарантии на возврат ав</w:t>
      </w:r>
      <w:r>
        <w:rPr>
          <w:rFonts w:ascii="Times New Roman" w:hAnsi="Times New Roman"/>
          <w:sz w:val="26"/>
          <w:szCs w:val="26"/>
        </w:rPr>
        <w:t xml:space="preserve">ансовых платежей, такая независимая гарантия подлежит возврату Поставщику после погашения авансовых платежей в полном объеме 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Если Покупатель не предъявлял требования Гаранту о платеже по независимой гарантии на исполнение Поставщиком обязательств по Договору, такая независимая гарантия подлежит возврату Поставщику после подписания Сторонами последнего Документа о приемке Товара</w:t>
      </w:r>
      <w:r>
        <w:rPr>
          <w:rFonts w:ascii="Times New Roman" w:hAnsi="Times New Roman"/>
          <w:i/>
          <w:sz w:val="26"/>
          <w:szCs w:val="26"/>
        </w:rPr>
        <w:t xml:space="preserve">/ 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течение 15 (пятнадцати) рабочих дней с даты получения Покупателем письменного запро</w:t>
      </w:r>
      <w:r>
        <w:rPr>
          <w:rFonts w:ascii="Times New Roman" w:hAnsi="Times New Roman"/>
          <w:sz w:val="26"/>
          <w:szCs w:val="26"/>
        </w:rPr>
        <w:t xml:space="preserve">са Поставщика на возврат независимой гарантии,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Договора*.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Если Покупатель не предъявлял требования Гаранту о платеже по единой независимой гарантии, такая независимая гарантия подлежит возврату Поставщику </w:t>
      </w:r>
      <w:r>
        <w:rPr>
          <w:rFonts w:ascii="Times New Roman" w:hAnsi="Times New Roman"/>
          <w:iCs/>
          <w:sz w:val="26"/>
          <w:szCs w:val="26"/>
        </w:rPr>
        <w:t xml:space="preserve">после окончания гарантийного срока</w:t>
      </w:r>
      <w:r>
        <w:rPr>
          <w:rFonts w:ascii="Times New Roman" w:hAnsi="Times New Roman"/>
          <w:sz w:val="26"/>
          <w:szCs w:val="26"/>
        </w:rPr>
        <w:t xml:space="preserve"> и подписания сторонами протокола об отсутствии взаимных претензий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подле</w:t>
      </w:r>
      <w:r>
        <w:rPr>
          <w:rFonts w:ascii="Times New Roman" w:hAnsi="Times New Roman"/>
          <w:sz w:val="26"/>
          <w:szCs w:val="26"/>
        </w:rPr>
        <w:t xml:space="preserve">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 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</w:t>
      </w:r>
      <w:r>
        <w:rPr>
          <w:rFonts w:ascii="Times New Roman" w:hAnsi="Times New Roman"/>
          <w:b/>
          <w:sz w:val="26"/>
          <w:szCs w:val="26"/>
        </w:rPr>
        <w:t xml:space="preserve">гарантийный депозит</w:t>
      </w:r>
      <w:r>
        <w:rPr>
          <w:rFonts w:ascii="Times New Roman" w:hAnsi="Times New Roman"/>
          <w:sz w:val="26"/>
          <w:szCs w:val="26"/>
        </w:rPr>
        <w:t xml:space="preserve">, заключив с Покупателем Соглашение о гарантийном депозите, по форме приложения 10.5. к Договору. Гаранти</w:t>
      </w:r>
      <w:r>
        <w:rPr>
          <w:rFonts w:ascii="Times New Roman" w:hAnsi="Times New Roman"/>
          <w:sz w:val="26"/>
          <w:szCs w:val="26"/>
        </w:rPr>
        <w:t xml:space="preserve">йный депозит формируется в размере 10% от цены Договора. При этом до формирования гарантийного депозита в полном объеме (не менее 10% от цены Договора) гарантийный депозит не может быть единственным способом обеспечения исполнения обязательств по Договору.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18.1. Поставщик направляет Покупателю письменное обращение о заключении Соглашения о гарантийном депозите.</w:t>
      </w:r>
      <w:r>
        <w:rPr>
          <w:rFonts w:ascii="Times New Roman" w:hAnsi="Times New Roman"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18.2. Соглашение о гарантийном депозите может быть подписано одновременно с </w:t>
      </w:r>
      <w:r>
        <w:rPr>
          <w:rFonts w:ascii="Times New Roman" w:hAnsi="Times New Roman"/>
          <w:bCs/>
          <w:sz w:val="26"/>
          <w:szCs w:val="26"/>
        </w:rPr>
        <w:t xml:space="preserve">настоящим Договором.</w:t>
      </w:r>
      <w:r>
        <w:rPr>
          <w:rFonts w:ascii="Times New Roman" w:hAnsi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18.3. Гарантийный депозит формируется по соглашению Сторон, в соответствии с которым Поставщик не возражает против удержания из платежей, </w:t>
      </w:r>
      <w:r>
        <w:rPr>
          <w:rFonts w:ascii="Times New Roman" w:hAnsi="Times New Roman" w:cs="Times New Roman"/>
          <w:sz w:val="26"/>
          <w:szCs w:val="26"/>
        </w:rPr>
        <w:t xml:space="preserve">причитающихся Поставщику по Договору, денежной суммы в размере не менее 10% от стоимости поставленного Товара, оказанных услуг. При этом обязательства Покупателя по оплате поставки в части суммы гарантийного депозита считаются выполненными в полном объеме.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18.4. </w:t>
      </w:r>
      <w:r>
        <w:rPr>
          <w:rFonts w:ascii="Times New Roman" w:hAnsi="Times New Roman" w:cs="Times New Roman"/>
          <w:sz w:val="26"/>
          <w:szCs w:val="26"/>
        </w:rPr>
        <w:t xml:space="preserve">Гарантийный депозит в качестве способа обеспечения надлежащего исполнения Поставщиком своих обязательств применяется: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 период исполнения Договора до даты подписания последнего Документа о приемке Товара / </w:t>
      </w:r>
      <w:r>
        <w:rPr>
          <w:rFonts w:ascii="Times New Roman" w:hAnsi="Times New Roman" w:cs="Times New Roman"/>
          <w:i/>
          <w:sz w:val="26"/>
          <w:szCs w:val="26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 период гарантийной эксплуатации Товара до даты окончания гарантийного срока и подписания протокола об отсутствии взаимных претензий.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18.5. Гарантийный депозит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гарантийными обязательствами.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18.6. Сумма списания гарантийного депозита должна соответствовать минимальной из следующих двух величин: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- суммы неисполненных денежных обязательств Поставщика перед Покупателем, рассчитанной в соответствии с условиями Соглашения о гарантийном депозите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размера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18.7. Для Гарантийного депоз</w:t>
      </w:r>
      <w:r>
        <w:rPr>
          <w:rFonts w:ascii="Times New Roman" w:hAnsi="Times New Roman" w:cs="Times New Roman"/>
          <w:sz w:val="26"/>
          <w:szCs w:val="26"/>
        </w:rPr>
        <w:t xml:space="preserve">ита, предоставляемого в целях обеспечения обязательств Поставщика, в случае если Договором предусмотрена авансовая форма расчетов суммой неисполненных денежных обязательств Поставщика перед Покупателем, является также непогашенная сумма авансового платежа.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18.8. Для гарантийного депозита, предоставляемого в качестве обеспечения исполнения Поставщиком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суммы неустойки (сверх суммы, уже учтенной в выставленных претензиях), на взыскание которой Покупатель имеет право на основании Договора либо закона;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подлежащей оплате задолженности Поставщика перед Покупателем (сверх суммы, уже о</w:t>
      </w:r>
      <w:r>
        <w:rPr>
          <w:rFonts w:ascii="Times New Roman" w:hAnsi="Times New Roman" w:cs="Times New Roman"/>
          <w:sz w:val="26"/>
          <w:szCs w:val="26"/>
        </w:rPr>
        <w:t xml:space="preserve">плаченной Поставщиком либо учтенной в выставленных претензиях), возникшей в связи с выплатой аванса (в части, непокрытой независимой гарантиейна возврат авансовых платежей по Договору) либо в связи с произошедшей переплатой по Договору в пользу Поставщика;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</w:t>
      </w:r>
      <w:r>
        <w:rPr>
          <w:rFonts w:ascii="Times New Roman" w:hAnsi="Times New Roman" w:cs="Times New Roman"/>
          <w:sz w:val="26"/>
          <w:szCs w:val="26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18.9. Для гарантийного депозита, предоставляемого в качестве обеспечения гарантийных обязательств, сумма неисполненных денежных обязательств Поставщика перед Покупателем опре</w:t>
      </w:r>
      <w:r>
        <w:rPr>
          <w:rFonts w:ascii="Times New Roman" w:hAnsi="Times New Roman" w:cs="Times New Roman"/>
          <w:sz w:val="26"/>
          <w:szCs w:val="26"/>
        </w:rPr>
        <w:t xml:space="preserve">деляется по аналогии с порядком, предусмотренным п. 18.8 настоящего приложения, при этом в расчет принимаются только суммы задолженности, возникшие в связи с неисполнением Поставщиком обязательств перед Покупателем в течение гарантийного срока по Договору.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18.10. 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305"/>
        <w:numPr>
          <w:ilvl w:val="4"/>
          <w:numId w:val="70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50% от суммы гарантийного депозита в течение 30 дней с даты подписания последнего Документа о приемке Товара </w:t>
      </w:r>
      <w:r>
        <w:rPr>
          <w:b w:val="0"/>
          <w:i/>
          <w:sz w:val="26"/>
          <w:szCs w:val="26"/>
        </w:rPr>
        <w:t xml:space="preserve">/ актов оказания дополнительных услуг (в случае наличия соответствующих услуг в предмете Договора)</w:t>
      </w:r>
      <w:r>
        <w:rPr>
          <w:b w:val="0"/>
          <w:bCs w:val="0"/>
          <w:sz w:val="26"/>
          <w:szCs w:val="26"/>
        </w:rPr>
        <w:t xml:space="preserve">,</w:t>
      </w:r>
      <w:r>
        <w:rPr>
          <w:b w:val="0"/>
          <w:sz w:val="26"/>
          <w:szCs w:val="26"/>
        </w:rPr>
        <w:t xml:space="preserve"> (но не более 5 процентов от стоимости поставки);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70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50% от суммы гарантийного депозита в течение 30 дней после окончания гарантийного срока и подписания сторонами протокола об отсутствии взаимных претензий.</w:t>
      </w:r>
      <w:r>
        <w:rPr>
          <w:b w:val="0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18.11. До полной приемки всего объема поставки </w:t>
      </w:r>
      <w:r>
        <w:rPr>
          <w:rFonts w:ascii="Times New Roman" w:hAnsi="Times New Roman" w:cs="Times New Roman"/>
          <w:i/>
          <w:sz w:val="26"/>
          <w:szCs w:val="26"/>
        </w:rPr>
        <w:t xml:space="preserve">и оказания всех услуг (в случае наличия сопутствующих услуг в предмете Договора)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Договору, поставленный Товар </w:t>
      </w:r>
      <w:r>
        <w:rPr>
          <w:rFonts w:ascii="Times New Roman" w:hAnsi="Times New Roman" w:cs="Times New Roman"/>
          <w:i/>
          <w:sz w:val="26"/>
          <w:szCs w:val="26"/>
        </w:rPr>
        <w:t xml:space="preserve">и оказанные услуги</w:t>
      </w:r>
      <w:r>
        <w:rPr>
          <w:rFonts w:ascii="Times New Roman" w:hAnsi="Times New Roman" w:cs="Times New Roman"/>
          <w:sz w:val="26"/>
          <w:szCs w:val="26"/>
        </w:rPr>
        <w:t xml:space="preserve"> оплачивается лишь в размере их стоимости за вычетом размера установленного гарантийного депозита.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Выплата гарантийного депозита Поставщику до полной поставки всего Товара </w:t>
      </w:r>
      <w:r>
        <w:rPr>
          <w:rFonts w:ascii="Times New Roman" w:hAnsi="Times New Roman" w:cs="Times New Roman"/>
          <w:i/>
          <w:sz w:val="26"/>
          <w:szCs w:val="26"/>
        </w:rPr>
        <w:t xml:space="preserve">и оказания всех услуг</w:t>
      </w:r>
      <w:r>
        <w:rPr>
          <w:rFonts w:ascii="Times New Roman" w:hAnsi="Times New Roman" w:cs="Times New Roman"/>
          <w:sz w:val="26"/>
          <w:szCs w:val="26"/>
        </w:rPr>
        <w:t xml:space="preserve"> до подписания документов о приемке Товара (в случае если Договором предусмотрена разовая приемка Товара и в договоре отсутствуют дополнительные услуги)</w:t>
      </w:r>
      <w:r>
        <w:rPr>
          <w:rFonts w:ascii="Times New Roman" w:hAnsi="Times New Roman" w:cs="Times New Roman"/>
          <w:i/>
          <w:sz w:val="26"/>
          <w:szCs w:val="26"/>
        </w:rPr>
        <w:t xml:space="preserve"> и 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6"/>
          <w:szCs w:val="26"/>
        </w:rPr>
        <w:t xml:space="preserve">, а не отдельных его партий, не допускается.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Досрочная выплата гарантийного депозита до наступления ук</w:t>
      </w:r>
      <w:r>
        <w:rPr>
          <w:rFonts w:ascii="Times New Roman" w:hAnsi="Times New Roman" w:cs="Times New Roman"/>
          <w:sz w:val="26"/>
          <w:szCs w:val="26"/>
        </w:rPr>
        <w:t xml:space="preserve">азанных в настоящем пункте обстоятельств не допускается,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18.12.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указанием, в чем состоит наруш</w:t>
      </w:r>
      <w:r>
        <w:rPr>
          <w:rFonts w:ascii="Times New Roman" w:hAnsi="Times New Roman" w:cs="Times New Roman"/>
          <w:bCs/>
          <w:sz w:val="26"/>
          <w:szCs w:val="26"/>
        </w:rPr>
        <w:t xml:space="preserve">ение Поставщиком обязательств, в обеспечение которых был сформирован гарантийный депозит, с указанием списанной суммы, определенной в соответствии с пп. 18.8, 18.9 настоящего приложения, а также требованием о восполнении депозита до установленного размера.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127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18.13. При расторжении (прекращении) Договора по основаниям, связанным с неисполнением/ненадлежащим исполнением обязательств Поставщиком по Договору, гарантийный депозит не подлежит выплате Поста</w:t>
      </w:r>
      <w:r>
        <w:rPr>
          <w:rFonts w:ascii="Times New Roman" w:hAnsi="Times New Roman" w:cs="Times New Roman"/>
          <w:sz w:val="26"/>
          <w:szCs w:val="26"/>
        </w:rPr>
        <w:t xml:space="preserve">вщику, а сумма, подлежащая оплате в этом случае, определяется в виде разницы между стоимостью поставленного Товара и оказанных услуг и суммой в размере 100% (сто процентов) сформированного на момент расторжения (прекращения) Договора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7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18.14. Стороны установили, что на сумму гарантийного депозита начисление процентов не осуществляется.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305"/>
        <w:ind w:firstLine="709"/>
        <w:jc w:val="both"/>
        <w:spacing w:before="0" w:after="0" w:line="240" w:lineRule="auto"/>
        <w:widowControl w:val="off"/>
        <w:tabs>
          <w:tab w:val="left" w:pos="84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19. Поставщик вправе предоставить в качестве обеспечения обязательств по Договору обеспечительный платеж: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70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обеспечительный платеж на возврат авансовых платежей;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70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обеспечительный платеж на исполнение Поставщиком обязательств по Договору;</w:t>
      </w:r>
      <w:r>
        <w:rPr>
          <w:b w:val="0"/>
          <w:sz w:val="26"/>
          <w:szCs w:val="26"/>
        </w:rPr>
      </w:r>
    </w:p>
    <w:p>
      <w:pPr>
        <w:pStyle w:val="1305"/>
        <w:numPr>
          <w:ilvl w:val="4"/>
          <w:numId w:val="70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b w:val="0"/>
          <w:sz w:val="26"/>
          <w:szCs w:val="2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 w:val="0"/>
          <w:sz w:val="26"/>
          <w:szCs w:val="26"/>
        </w:rPr>
        <w:t xml:space="preserve">обеспечительный платеж обеспечения гарантийных обязательств по Договору.</w:t>
      </w:r>
      <w:r>
        <w:rPr>
          <w:b w:val="0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19.1. </w:t>
      </w:r>
      <w:r>
        <w:rPr>
          <w:rFonts w:ascii="Times New Roman" w:hAnsi="Times New Roman" w:cs="Times New Roman"/>
          <w:sz w:val="26"/>
          <w:szCs w:val="26"/>
        </w:rPr>
        <w:t xml:space="preserve">Поставщик направляет Покупателю письменное обращени</w:t>
      </w:r>
      <w:r>
        <w:rPr>
          <w:rFonts w:ascii="Times New Roman" w:hAnsi="Times New Roman" w:cs="Times New Roman"/>
          <w:sz w:val="26"/>
          <w:szCs w:val="26"/>
        </w:rPr>
        <w:t xml:space="preserve">е о необходимости заключения Сторонами Соглашения об обеспечительном платеже по форме приложений 10.7, 10.8, 10.9 к настоящему Договору в соответствии с Требованиями, содержащимися в приложениях 10.7, 10.8, 10.9 к настоящему Договору, пп. 19.3, 19.4, 19.5.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Стороны установили, что на сумму обеспечительного платежа начисление процентов не осуществляется.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 Требования к обеспечительному платежу, предоставляемому в качестве обеспечения обязательств по возврату аванса, порядок и основания его списания и возврата Покупателем: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19.3.1. Сумма обеспечительного платежа, предоставляемого в качестве обеспечения возврата авансовых платежей, должна быть в размере аванса, предусмотренного Договором.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19.3.2. Перечисление обеспечительного платежа должно быть совершено Поставщиком на обособленный счет Покупателя до даты перечисления аванса.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19.3.3. Поставщик предоставляет обеспечительный платеж на период действия Договора до момента полного погашения авансовой задолженности.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19.3.4. Обеспечительный платеж может быть использован Покупателем для покрытия расходов, связанных с невозвратом Поставщиком авансовых платежей, предусмотренных Договором.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19.3.5. Сумма обеспечительного платежа подлежит списанию Покупателем в случае получения со стороны Поставщик</w:t>
      </w:r>
      <w:r>
        <w:rPr>
          <w:rFonts w:ascii="Times New Roman" w:hAnsi="Times New Roman" w:cs="Times New Roman"/>
          <w:bCs/>
          <w:sz w:val="26"/>
          <w:szCs w:val="26"/>
        </w:rPr>
        <w:t xml:space="preserve">а письменного отказа от возврата неотработанного аванса либо не перечисления неотработанного аванса в срок, установленный в письменном уведомлении о возврате аванса со стороны Покупателя, и должна быть равна сумме неотработанного на момент списания аванса.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19.3.6. В случае принятия решения о списании обеспечительного платежа Покупатель в течение 3 (трех) рабочих дней направляет Поставщику информацию о списании обеспечительного платежа с указанием, в чем состоит нарушен</w:t>
      </w:r>
      <w:r>
        <w:rPr>
          <w:rFonts w:ascii="Times New Roman" w:hAnsi="Times New Roman" w:cs="Times New Roman"/>
          <w:bCs/>
          <w:sz w:val="26"/>
          <w:szCs w:val="26"/>
        </w:rPr>
        <w:t xml:space="preserve">ие обязательств, в обеспечение которых был перечислен обеспечительный платеж, а также с указанием суммы списания, определенной в соответствии с п. 5 Соглашения об обеспечительном платеже, предоставляемого в качестве обеспечения возврата авансовых платежей.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19.3.7. Возврат обеспечительного платежа Поставщику до полного погашения суммы авансовы</w:t>
      </w:r>
      <w:r>
        <w:rPr>
          <w:rFonts w:ascii="Times New Roman" w:hAnsi="Times New Roman" w:cs="Times New Roman"/>
          <w:bCs/>
          <w:sz w:val="26"/>
          <w:szCs w:val="26"/>
        </w:rPr>
        <w:t xml:space="preserve">х платежей, выплаченных Покупателем по Договору, не допускается, за исключением случаев предоставления Поставщиком взамен обеспечения в форме обеспечительного платежа иного способа обеспечения возврата аванса, удовлетворяющего условиям настоящего Договора.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случае замены Поставщиком обеспечитель</w:t>
      </w:r>
      <w:r>
        <w:rPr>
          <w:rFonts w:ascii="Times New Roman" w:hAnsi="Times New Roman" w:cs="Times New Roman"/>
          <w:bCs/>
          <w:sz w:val="26"/>
          <w:szCs w:val="26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19.3.8. Возврат обеспечительного платежа, предоставленного Поставщиком в качестве обеспечения обязательств по возврату аванса, за вычетом средств, использованных Покупателем для возмещения своих убытков, связанных с неисполнением Поставщиком обязате</w:t>
      </w:r>
      <w:r>
        <w:rPr>
          <w:rFonts w:ascii="Times New Roman" w:hAnsi="Times New Roman" w:cs="Times New Roman"/>
          <w:bCs/>
          <w:sz w:val="26"/>
          <w:szCs w:val="26"/>
        </w:rPr>
        <w:t xml:space="preserve">льств по возврату неотработанного аванса по Договору, производится в течение 30 (тридцати) дней со дня подписания Сторонами двустороннего акта сверки авансовой задолженности по Договору, авансовая задолженность в соответствии с которым будет отсутствовать.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19.3.9. Размер обеспечительного платежа может быть уменьшен до </w:t>
      </w:r>
      <w:r>
        <w:rPr>
          <w:rFonts w:ascii="Times New Roman" w:hAnsi="Times New Roman" w:cs="Times New Roman"/>
          <w:bCs/>
          <w:sz w:val="26"/>
          <w:szCs w:val="26"/>
        </w:rPr>
        <w:t xml:space="preserve">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платеже, предоставляемого в качестве обеспечения возврата авансовых платежей.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19.3.10. Размер обеспечительного платежа в любой момент времени должен быть не меньше суммы неотработанного Поставщиком аванса по Договору.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19.3.11. При расторжении (прекращении) Договора в случае невыполнения Поставщиком обязательств в сроки и/или их выполнении с ненадлежащим качеством, предусмотренным Договором, обеспечительный платеж не подлежит возврату Поставщику.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19.3.12. Стороны установили, что на сумму обеспечительного платежа начисление процентов не осуществляется.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19.4. </w:t>
      </w:r>
      <w:r>
        <w:rPr>
          <w:rFonts w:ascii="Times New Roman" w:hAnsi="Times New Roman" w:cs="Times New Roman"/>
          <w:sz w:val="26"/>
          <w:szCs w:val="26"/>
        </w:rPr>
        <w:t xml:space="preserve">Требования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19.4.1.</w:t>
      </w:r>
      <w:r>
        <w:rPr>
          <w:rFonts w:ascii="Times New Roman" w:hAnsi="Times New Roman" w:cs="Times New Roman"/>
          <w:bCs/>
          <w:sz w:val="26"/>
          <w:szCs w:val="26"/>
        </w:rPr>
        <w:t xml:space="preserve"> Сумма обеспечительного платежа, предоставляемого в качестве обеспечения исполнения Пос</w:t>
      </w:r>
      <w:r>
        <w:rPr>
          <w:rFonts w:ascii="Times New Roman" w:hAnsi="Times New Roman" w:cs="Times New Roman"/>
          <w:bCs/>
          <w:sz w:val="26"/>
          <w:szCs w:val="26"/>
        </w:rPr>
        <w:t xml:space="preserve">тавщиком обязательств по Договору, должна составлять 3%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19.4.3.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19.4.5.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rPr>
          <w:rFonts w:ascii="Times New Roman" w:hAnsi="Times New Roman" w:cs="Times New Roman"/>
          <w:sz w:val="26"/>
          <w:szCs w:val="26"/>
        </w:rP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19.4.6</w:t>
      </w:r>
      <w:r>
        <w:rPr>
          <w:rFonts w:ascii="Times New Roman" w:hAnsi="Times New Roman" w:cs="Times New Roman"/>
          <w:sz w:val="26"/>
          <w:szCs w:val="26"/>
        </w:rPr>
        <w:t xml:space="preserve">. Возврат обеспечительного платежа Поставщику до исполнения всех обязательств по Договору и подписания Документа о приемке Товара (в случае если Договором предусмотрена разовая приемка Товара и в Договоре отсутствуют дополнительные обязательства и услуги) </w:t>
      </w:r>
      <w:r>
        <w:rPr>
          <w:rFonts w:ascii="Times New Roman" w:hAnsi="Times New Roman" w:cs="Times New Roman"/>
          <w:i/>
          <w:sz w:val="26"/>
          <w:szCs w:val="26"/>
        </w:rPr>
        <w:t xml:space="preserve">и актов оказания дополнительных услуг (в случае наличия соответствующих услуг в предмете Договора) </w:t>
      </w:r>
      <w:r>
        <w:rPr>
          <w:rFonts w:ascii="Times New Roman" w:hAnsi="Times New Roman" w:cs="Times New Roman"/>
          <w:sz w:val="26"/>
          <w:szCs w:val="26"/>
        </w:rPr>
        <w:t xml:space="preserve">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замены Поставщиком обеспечитель</w:t>
      </w:r>
      <w:r>
        <w:rPr>
          <w:rFonts w:ascii="Times New Roman" w:hAnsi="Times New Roman" w:cs="Times New Roman"/>
          <w:sz w:val="26"/>
          <w:szCs w:val="26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19.4.7. Возврат обеспечительного платежа, предоставленного Поставщиком в качестве обеспечения исполнения </w:t>
      </w:r>
      <w:r>
        <w:rPr>
          <w:rFonts w:ascii="Times New Roman" w:hAnsi="Times New Roman" w:cs="Times New Roman"/>
          <w:sz w:val="26"/>
          <w:szCs w:val="26"/>
        </w:rPr>
        <w:t xml:space="preserve">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Документа о приемке Товара/ </w:t>
      </w:r>
      <w:r>
        <w:rPr>
          <w:rFonts w:ascii="Times New Roman" w:hAnsi="Times New Roman" w:cs="Times New Roman"/>
          <w:i/>
          <w:sz w:val="26"/>
          <w:szCs w:val="26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6"/>
          <w:szCs w:val="26"/>
        </w:rP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Договором.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19.4.8.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При расторжении (прекращении) Договора по основаниям, связанным 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19.5. Требования к обеспечительному платежу, предоставляемому в качестве обеспечения исполнения обязательств Поставщика в гарантийный период, порядок и основания его списания и возврата Покупателем: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19.5.3. Поставщик предоставляет обеспечительный платеж на период гарантийной эксплуатации Товара до момента окончания гарантийного срока </w:t>
      </w:r>
      <w:r>
        <w:rPr>
          <w:rFonts w:ascii="Times New Roman" w:hAnsi="Times New Roman" w:cs="Times New Roman"/>
          <w:sz w:val="26"/>
          <w:szCs w:val="26"/>
        </w:rPr>
        <w:t xml:space="preserve">и подписания протокола об отсутствии взаимных претензий</w:t>
      </w:r>
      <w:r>
        <w:rPr>
          <w:rFonts w:ascii="Times New Roman" w:hAnsi="Times New Roman" w:cs="Times New Roman"/>
          <w:bCs/>
          <w:sz w:val="26"/>
          <w:szCs w:val="26"/>
        </w:rPr>
        <w:t xml:space="preserve">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19.5.4.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19.5.5.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rPr>
          <w:rFonts w:ascii="Times New Roman" w:hAnsi="Times New Roman" w:cs="Times New Roman"/>
          <w:bCs/>
          <w:sz w:val="26"/>
          <w:szCs w:val="26"/>
        </w:rP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19.5.6. Возврат обеспечительного </w:t>
      </w:r>
      <w:r>
        <w:rPr>
          <w:rFonts w:ascii="Times New Roman" w:hAnsi="Times New Roman" w:cs="Times New Roman"/>
          <w:bCs/>
          <w:sz w:val="26"/>
          <w:szCs w:val="26"/>
        </w:rPr>
        <w:t xml:space="preserve">платежа Поставщику до момента окончания гарантийного срока и подписания сторонами протокола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</w:t>
      </w:r>
      <w:r>
        <w:rPr>
          <w:rFonts w:ascii="Times New Roman" w:hAnsi="Times New Roman" w:cs="Times New Roman"/>
          <w:sz w:val="26"/>
          <w:szCs w:val="26"/>
        </w:rPr>
        <w:t xml:space="preserve"> обеспечения гарантийных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замены Поставщиком обеспечительного платежа иным способо</w:t>
      </w:r>
      <w:r>
        <w:rPr>
          <w:rFonts w:ascii="Times New Roman" w:hAnsi="Times New Roman" w:cs="Times New Roman"/>
          <w:sz w:val="26"/>
          <w:szCs w:val="26"/>
        </w:rP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19.5.7. Возврат обеспечительного платежа, предоставленного Поставщиком в качестве обеспечения исполнения обязательств в гарантийный период, за вычетом средств, использованных Покупател</w:t>
      </w:r>
      <w:r>
        <w:rPr>
          <w:rFonts w:ascii="Times New Roman" w:hAnsi="Times New Roman"/>
          <w:bCs/>
          <w:sz w:val="26"/>
          <w:szCs w:val="26"/>
        </w:rPr>
        <w:t xml:space="preserve">ем для возмещения своих убытков, связанных 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>
        <w:rPr>
          <w:rFonts w:ascii="Times New Roman" w:hAnsi="Times New Roman"/>
          <w:bCs/>
          <w:sz w:val="26"/>
          <w:szCs w:val="26"/>
        </w:rPr>
      </w:r>
    </w:p>
    <w:p>
      <w:pPr>
        <w:pStyle w:val="127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20. Компенсация затрат на осуществление обеспечения обязательств Поставщика по Договору производится с у</w:t>
      </w:r>
      <w:r>
        <w:rPr>
          <w:rFonts w:ascii="Times New Roman" w:hAnsi="Times New Roman"/>
          <w:sz w:val="26"/>
          <w:szCs w:val="26"/>
        </w:rPr>
        <w:t xml:space="preserve">четом непревышения соответствующей строки сводного сметного расчета стоимости строительства, получившего положительное заключение организации, уполномоченной на проведение экспертизы в соответствии с организационно-распорядительными документами Покупателя.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По согласованию с Покупателем вид финан</w:t>
      </w:r>
      <w:r>
        <w:rPr>
          <w:rFonts w:ascii="Times New Roman" w:hAnsi="Times New Roman" w:cs="Times New Roman"/>
          <w:sz w:val="26"/>
          <w:szCs w:val="26"/>
        </w:rPr>
        <w:t xml:space="preserve">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альтернативный, предусмотренный условиями и отвечающий требованиям Договора, по письменному обращению Поставщика.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Договор не подлежит заключению в отсутствие предусмотренных настоящей статьей способа обеспечения обязательств. Такой отказ от заключения Договора не признается уклонением Покупателя от заключения Договора и не является нарушением.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305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b w:val="0"/>
          <w:sz w:val="26"/>
          <w:szCs w:val="26"/>
          <w:lang w:eastAsia="en-US"/>
        </w:rPr>
        <w:outlineLvl w:val="1"/>
      </w:pPr>
      <w:r>
        <w:rPr>
          <w:b w:val="0"/>
          <w:sz w:val="26"/>
          <w:szCs w:val="26"/>
          <w:lang w:eastAsia="en-US"/>
        </w:rPr>
      </w:r>
      <w:r>
        <w:rPr>
          <w:b w:val="0"/>
          <w:sz w:val="26"/>
          <w:szCs w:val="26"/>
          <w:lang w:eastAsia="en-US"/>
        </w:rPr>
      </w:r>
    </w:p>
    <w:p>
      <w:pPr>
        <w:spacing w:after="0" w:line="240" w:lineRule="auto"/>
        <w:widowControl w:val="off"/>
        <w:tabs>
          <w:tab w:val="left" w:pos="819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6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819"/>
        <w:gridCol w:w="5244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ind w:left="709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     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lang w:eastAsia="ru-RU"/>
              </w:rPr>
              <w:t xml:space="preserve">____________________/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     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lang w:eastAsia="ru-RU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  <w:lang w:eastAsia="ru-RU"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40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М.П.</w:t>
            </w:r>
            <w:r>
              <w:rPr>
                <w:rFonts w:ascii="Tinos" w:hAnsi="Tinos" w:cs="Tinos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lang w:eastAsia="ru-RU"/>
              </w:rPr>
              <w:t xml:space="preserve">«_____»___________20___г.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lang w:eastAsia="ru-RU"/>
              </w:rPr>
              <w:t xml:space="preserve">«_____»___________20___г.</w:t>
            </w:r>
            <w:r>
              <w:rPr>
                <w:rFonts w:ascii="Tinos" w:hAnsi="Tinos" w:cs="Tinos"/>
              </w:rPr>
            </w:r>
          </w:p>
        </w:tc>
      </w:tr>
    </w:tbl>
    <w:p>
      <w:pPr>
        <w:ind w:firstLine="567"/>
        <w:jc w:val="both"/>
        <w:spacing w:after="0" w:line="240" w:lineRule="auto"/>
        <w:shd w:val="clear" w:color="auto" w:fill="ffffff"/>
        <w:widowControl w:val="off"/>
        <w:tabs>
          <w:tab w:val="left" w:pos="284" w:leader="none"/>
          <w:tab w:val="left" w:pos="426" w:leader="none"/>
          <w:tab w:val="left" w:pos="532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spacing w:after="160" w:line="259" w:lineRule="auto"/>
      </w:pPr>
      <w:r/>
      <w:r/>
    </w:p>
    <w:p>
      <w:pPr>
        <w:ind w:left="6803"/>
        <w:spacing w:after="160" w:line="259" w:lineRule="auto"/>
      </w:pPr>
      <w:r/>
      <w:r/>
    </w:p>
    <w:p>
      <w:pPr>
        <w:ind w:left="6803"/>
        <w:spacing w:after="160" w:line="259" w:lineRule="auto"/>
      </w:pPr>
      <w:r/>
      <w:r/>
    </w:p>
    <w:p>
      <w:pPr>
        <w:ind w:left="6803"/>
        <w:spacing w:after="160" w:line="259" w:lineRule="auto"/>
      </w:pPr>
      <w:r/>
      <w:r/>
    </w:p>
    <w:p>
      <w:pPr>
        <w:ind w:left="6803" w:firstLine="11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Приложение № 7.1 </w:t>
      </w:r>
      <w:r>
        <w:rPr>
          <w:rFonts w:ascii="Tinos" w:hAnsi="Tinos" w:cs="Tinos"/>
          <w:sz w:val="20"/>
          <w:szCs w:val="20"/>
        </w:rPr>
      </w:r>
    </w:p>
    <w:p>
      <w:pPr>
        <w:ind w:left="6803" w:firstLine="11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/>
    </w:p>
    <w:p>
      <w:pPr>
        <w:ind w:left="6803"/>
        <w:spacing w:after="160" w:line="259" w:lineRule="auto"/>
      </w:pPr>
      <w:r/>
      <w:r/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независимой гарантии на исполнение обязательств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НЕЗАВИСИМАЯ ГАРАНТИЯ № ______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полное или сокращенное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гаранта, ОГРН или ИНН), Генеральная/Универсальная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года №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18"/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 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«Гарант», в лице _____________________________________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полностью Ф.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lang w:val="en-US"/>
        </w:rPr>
        <w:t xml:space="preserve"> 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И.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lang w:val="en-US"/>
        </w:rPr>
        <w:t xml:space="preserve"> 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О. уполномоченного действовать от имени гаранта лица),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,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(сумма цифрами и прописью),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по получении письменного требования Бенефициара, указывающего, что ___________________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(полное или сокращенное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или ИНН 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 договору, который будет заключен по результатам определения п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</w:t>
      </w:r>
      <w:r>
        <w:rPr>
          <w:rFonts w:ascii="Times New Roman" w:hAnsi="Times New Roman" w:cs="Times New Roman"/>
          <w:i/>
          <w:iCs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«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ascii="Times New Roman" w:hAnsi="Times New Roman" w:cs="Times New Roman"/>
          <w:i/>
          <w:iCs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 по получении от Бенефициара письм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платежа должно быть направлено Гаранту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**Примечание: в случае первоначального предоставлен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Письменное согласие Бенефициар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О.)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7.2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nos" w:hAnsi="Tinos" w:eastAsia="Tinos" w:cs="Tinos"/>
          <w:sz w:val="20"/>
          <w:szCs w:val="20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изменения к независимой гарантии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ИЗМЕНЕНИЕ № 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к независимой гарантии от ______ №____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полное или сокращенное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или ИНН), Генеральная/Универсальная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года №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19"/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«Гарант», в лице 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 уполномоченного действовать от имени гаранта лица)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(цифрами и прописью),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именуемого в дальнейшем «Бенефициар», по просьбе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__________(полное или сокращенное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и/или ИНН),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именуемого в дальнейшем «Принципал», в обеспечение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Style w:val="1711"/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*</w:t>
      </w: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Принципала по договору от _____ №_____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Изменение состоит в следующем: ____________________________.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Все остальные условия независимой гарантии остаются без изменения.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указывается дата выдачи изменения к независимой гарантии</w:t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7.3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Форма единой независимой гарантии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НЕЗАВИСИМАЯ ГАРАНТИЯ № ______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_____________________ 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полное или сокращенное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наименование гаранта, ОГРН или ИНН),  Генеральная/Универсальная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(выбрать нужное)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лицензия на осуществление банковских операций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/реквизиты иных документов, подтверждающих наличие у гаранта права на выдачу независимых гарантий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vertAlign w:val="superscript"/>
        </w:rPr>
        <w:footnoteReference w:id="20"/>
      </w:r>
      <w:r>
        <w:rPr>
          <w:rFonts w:ascii="Times New Roman" w:hAnsi="Times New Roman" w:eastAsia="Times New Roman" w:cs="Times New Roman"/>
          <w:bCs/>
          <w:i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),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именуемое в дальнейшем «Гарант», в лице _____________________________________ 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полностью Ф. И. О. уполномоченного действовать от имени гаранта лица),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настоящим принимает на себя безотзывное обязательство уплатить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Акционерному обществу «Россети Сибирь Тываэнерго»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(ОГРН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ИНН)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именуемому в дальнейшем «Бенефициар», любую сумму или суммы, не превышающие в итоге 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(сумма цифрами и прописью),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получении письменного требования Бенефициара, указывающего, что 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полное или сокращенное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наименование, ОГРН или ИНН)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«Принципал», не исполнил любые свои обязательства перед Бенефициаром </w:t>
      </w:r>
      <w:r>
        <w:rPr>
          <w:rFonts w:ascii="Times New Roman" w:hAnsi="Times New Roman" w:eastAsia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 договору, который будет заключен по результатам определения поставщика (подрядчика, исполнителя)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(номер извещения в единой информационной системе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br/>
        <w:t xml:space="preserve">в сфере закупок __________,  протокол подведения итогов закупочной процедуры от ___ года (указывается дата подписания либо более поздняя из дат в протоколе) №___).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*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*Примечание: 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- в случае заключения договора на основании решения иного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 (указать полное наименование документа) от __ года № ____)»;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 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неисполнение требования по настоящей независимой гарантии не ограничивается суммой, на которую она выдана. 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Бенефициара должно сопровождаться копией письменного уведомления Принципала о возврат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аванса и справкой Бенефициара о выплаченном авансе. (Данное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аванса).*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(* абзац включается в текст гарантии, если гарантия выдана во исполнение обязательств контрагента по возврату авансовых платежей).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письменном требовании Бенефициара должно быть указано, что: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обязательств контрагента по возврату авансовых платежей)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и/или;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(не надлежаще исполнил) свои обязательства по Договору *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обязательств контрагента)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и/или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гарантийных обязательств контрагента).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br/>
        <w:t xml:space="preserve">10 рабочих дней с момента получения требования от Бенефициара,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Настоящая гарантия вступает в силу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_________20___года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 действует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_________20___года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(включительно).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Письменное согласие Бенефициар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(Ф. И. О.)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sz w:val="26"/>
          <w:szCs w:val="26"/>
        </w:rPr>
        <w:t xml:space="preserve">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7.4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Форма независимой гарантии обеспечения гарантийных обязательств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rStyle w:val="1711"/>
          <w:b/>
          <w:bCs/>
          <w:sz w:val="26"/>
          <w:szCs w:val="26"/>
        </w:rPr>
        <w:t xml:space="preserve">НЕЗАВИСИМАЯ ГАРАНТИЯ №</w:t>
      </w:r>
      <w:r>
        <w:rPr>
          <w:b/>
          <w:bCs/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       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Мы информированы о том, что «___» ______20__года _____________________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(наименование, ОГРН или ИНН),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именуемое в дальнейшем «Принципал», заключило Договор № ____, именуемый в дальнейшем «Договор», с _____________________ (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именуемым в дальнейшем «Бенефициар»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.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Учитывая вышеизложенное, по просьбе Принципала, мы, _____________________________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гаранта, ОГРН или ИНН), Генеральная/Универсальная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года №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21"/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),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далее именуемый «Гарант», в лице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_____________(Ф. И. О. уполномоченного действовать от имени гаранта лица)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(сумма цифрами и прописью),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м обязательств по продлению независимой гарантии на новый срок и/или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08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Настоящая независимая гарантия вступает в силу с _________20___года и действует по __________20___года (включительно).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 по получении от Бенефициара письм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Письменное согласие Бенефициар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Гарант передает сведения о Принципале, определенные ст. 4 Федерального закона от 30.12.200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Style w:val="1711"/>
          <w:sz w:val="26"/>
          <w:szCs w:val="26"/>
        </w:rPr>
        <w:t xml:space="preserve">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7.5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соглашения о гарантийном депозите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СОГЛАШЕНИЕ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b/>
          <w:bCs/>
          <w:sz w:val="24"/>
          <w:szCs w:val="24"/>
        </w:rPr>
        <w:t xml:space="preserve">о гарантийном депозите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7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5107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sz w:val="24"/>
                <w:szCs w:val="24"/>
              </w:rPr>
              <w:t xml:space="preserve">г.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11"/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                  «_____»________ 20___г.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полное наименование Общества)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(сокращенное наименование: __________), именуемое в дальнейшем «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_______________________, действующего на основании __________________, с одной стороны, и ________________________, именуемое в дальнейшем «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1.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 порядке статьи 329 Гражданского кодекса Российской Федерации предоставляет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Заказчику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в качестве способа обеспечения обязательств по Договору и гарантийных обязательств гарантийный депозит в размере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br/>
        <w:t xml:space="preserve">10 (Десяти) процентов от цены Договора (включая НДС) на сумму ___________ (____________________) рублей на срок действия Договора и гарантийного срока.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2.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предоставляет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Заказчику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право на удержание части цены Договора (включая НДС), указанной в пункте 1 настоящего Соглашения, из платежей и окончательного платежа за поставленный товар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в качестве гарантийного депозита путем резервирования названной денежной суммы на счете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Заказчика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- на период исполнения Договора до момента подписания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подписания сторонами 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- на период исполнения Договора и гарантийной эксплуатации товара до момента окончания гарантийного срока.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3. Оплата осуществленных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товара производится на условиях резервирования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денежной суммы в размере не менее 10% от стоимости поставленного оборудования, материалов до момента достижения размера сформированного гарантийного депозита суммы, равной 10% от цены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4. Гарантийный депозит может быть использован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для покрытия расходов, связанных с 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обязательств по Договору, в том числе на возмещение убытков, связанных с гарантийными обязательствами.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5. Сумма списания Гарантийного депозита определяется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с учетом следующих положений: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5.1.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Сумма списания Гарантийного депозита должна соответствовать минимальной из следующих двух величин: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суммы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рассчитанной в соответствии с пп. 5.2-5.4 настоящего Соглашения;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размера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5.2.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Для Гарантийного депозита, предоставляемого в целях обеспечения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в случае если Договором предусмотрена авансовая форма расчетов суммой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а 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является непогашенная сумма авансового платежа.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5.3.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Для Гарантийного депозита, предоставляемого в качестве обеспечения исполнения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обязательств по Договору, сумма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определяется с учетом: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суммы выставленных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и неоплаченных претензий (кроме претензий, отозванных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имеет право на основании Договора либо закона;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которые понес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в связи с неисполнением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причиненных неисполнением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процентов за неправомерное пользование денежными средствами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Заказчика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подлежащей оплате задолженности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возникшей в связи с выплатой аванса (в части, непокрытой независимой гарантией на возврат авансовых платежей по Договору) либо в связи с произошедшей переплатой по Договору в пользу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(сверх суммы, уже учтенной в выставленных претензиях).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обязательств перед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в течение гарантийного срока по Договору.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6. До полной приемки всего товара по Договору поставленный товар оплачивается лишь в размере их стоимости за вычетом размера установленного гарантийного депозита.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Выплата гарантийного депозита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до полной приемки всех выполненных по Договору работ на основании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 итоговых документов, предусмотренных договором, подтверждающих выполнение поставки товаров в полном объеме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а не отдельных его частей или этапов, не допускается.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7. Выплата гарантийного депозита, предоставленного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на период исполнения Договора и гарантийной эксплуатации объекта, за вычетом средств, использованных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для возмещения своих убытков, связанных с нарушением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условий Договора, производится в следующем порядке: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78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50% от суммы гарантийного депозита в течение 30 календарных дней с даты подписания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итоговых документов, предусмотренных Договором, подтверждающих выполнение Поставщик поставки товаров в полном объеме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(но не более 5 процентов от стоимости выполненных работ, услуг, поставленного оборудования, материалов по Договору);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78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50%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8. При расторжении (прекращении) Договора в случае невыполнения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ом поставки товара в сроки и/или с ненадлежащим качеством, предусмотренные Договором, гарантийный депозит не подлежит выплате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а стоимость осуществленных поставок в этом случае определяется в виде разницы между стоимостью осуществленных поставок и суммой в размере 100% (сто процентов) сформированного на момент расторжения (прекращения) Договора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9. Стороны установили, что на сумму гарантийного депозита начисление процентов не осуществляется.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ПОКУПАТЕЛЬ                </w:t>
      </w:r>
      <w:r>
        <w:rPr>
          <w:rFonts w:ascii="Tinos" w:hAnsi="Tinos" w:eastAsia="Tinos" w:cs="Tinos"/>
          <w:bCs/>
          <w:lang w:eastAsia="ru-RU"/>
        </w:rPr>
        <w:tab/>
        <w:t xml:space="preserve">                                       ПОСТАВЩИК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_____________________/</w:t>
      </w:r>
      <w:r>
        <w:rPr>
          <w:rFonts w:ascii="Tinos" w:hAnsi="Tinos" w:eastAsia="Tinos" w:cs="Tinos"/>
          <w:lang w:eastAsia="ru-RU"/>
        </w:rPr>
        <w:t xml:space="preserve"> А.В. Лукин</w:t>
      </w:r>
      <w:r>
        <w:rPr>
          <w:rFonts w:ascii="Tinos" w:hAnsi="Tinos" w:eastAsia="Tinos" w:cs="Tinos"/>
          <w:bCs/>
          <w:lang w:eastAsia="ru-RU"/>
        </w:rPr>
        <w:t xml:space="preserve"> /                          _____________________/ /</w:t>
      </w:r>
      <w:r>
        <w:rPr>
          <w:rFonts w:ascii="Tinos" w:hAnsi="Tinos" w:eastAsia="Tinos" w:cs="Tinos"/>
          <w:lang w:eastAsia="ru-RU"/>
        </w:rPr>
        <w:t xml:space="preserve">  </w:t>
      </w:r>
      <w:r>
        <w:rPr>
          <w:rFonts w:ascii="Tinos" w:hAnsi="Tinos" w:cs="Tinos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</w:rPr>
        <w:t xml:space="preserve">М.П.                                                                                   М.П.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7.6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Форма соглашения об обеспечительном платеже в качестве обеспечения исполнения обязательств по договору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0"/>
        </w:rPr>
      </w:r>
    </w:p>
    <w:p>
      <w:pPr>
        <w:jc w:val="center"/>
        <w:widowControl w:val="off"/>
        <w:tabs>
          <w:tab w:val="left" w:pos="84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Акционерное общество «Россети Сибирь Тываэнерго» (сокращенное наименование: АО «Россети Сибирь Тываэнерго»,</w:t>
      </w:r>
      <w:r>
        <w:rPr>
          <w:rFonts w:ascii="Times New Roman" w:hAnsi="Times New Roman" w:eastAsia="Times New Roman" w:cs="Times New Roman"/>
          <w:bCs/>
          <w:i/>
          <w:iCs/>
          <w:sz w:val="24"/>
          <w:szCs w:val="24"/>
        </w:rPr>
        <w:t xml:space="preserve"> ИНН, ОГРН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«Заказчик», в лице 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(Ф. И. О., должность),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__________________(реквизиты доверенности),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одной стороны, и 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(наименование, ОГРН, ИНН),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«Поставщик», в лице __________________________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(Ф. И. О., должность),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__________________(реквизиты доверенности),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другой стороны, именуемые в дальнейшем совместно «Стороны»,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в порядке п. __________ договора, который будет заключен по результатам закупочной процедуры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(номер извещения в единой информационной системе в сфере закупок __________, лот № __,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Центральной конкурсной комиссии ПАО «Россети» от __№ ____, вопрос № ________)</w:t>
      </w:r>
      <w:r>
        <w:rPr>
          <w:rStyle w:val="1288"/>
          <w:rFonts w:ascii="Times New Roman" w:hAnsi="Times New Roman" w:eastAsia="Times New Roman" w:cs="Times New Roman"/>
          <w:sz w:val="24"/>
          <w:szCs w:val="24"/>
        </w:rPr>
        <w:footnoteReference w:id="22"/>
      </w:r>
      <w:r>
        <w:rPr>
          <w:rStyle w:val="1288"/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заключили настоящее Соглашение о нижеследующем: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Поставщик в порядке статьи 381.1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сумма цифрами и прописью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процентов от начальной (максимальной) цены договора (цены лота)</w:t>
      </w:r>
      <w:r>
        <w:rPr>
          <w:rStyle w:val="1288"/>
          <w:rFonts w:ascii="Times New Roman" w:hAnsi="Times New Roman" w:eastAsia="Times New Roman" w:cs="Times New Roman"/>
          <w:sz w:val="24"/>
          <w:szCs w:val="24"/>
        </w:rPr>
        <w:footnoteReference w:id="23"/>
      </w:r>
      <w:r>
        <w:rPr>
          <w:rStyle w:val="1288"/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(включая НДС) на сумму ___________ (____________________) рублей на срок исполнения Поставщиком обязательств по Договору до момента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Перечисление обеспечительного платежа осуществляется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на обособленный счет Заказчика. Перечисление обеспечительного платежа должно быть совершено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на счет Заказчика до даты заключения договора (дополнительного соглашения).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Открытие и обслуживание данного счета осуществляется Заказчиком.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Подрядчик предоставляет обеспечительный платеж на период исполнения обязательств по Договору до момента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итоговых документов, предусмотренных договором, подтверждающих выполнение поставки товаров в полном объеме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Обеспечительный платеж может быть использован Заказчиком для покрытия расходов, связанных с ненадлежащим 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5.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Сумма списания обеспечительного платежа определяется Заказчиком с учетом следующих положений: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5.1.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Сумма списания обеспечительного платежа должна соответствовать минимальной из следующих величин: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сумма неисполненных денежных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Заказчиком; 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размера обеспечительного платежа.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6.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определяется с учетом: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выставленных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и неоплаченных претензий (кроме претензий, отозванных Заказчиком);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претензиях), которые понес Заказчик в связи с неисполнением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претензиях), причиненных неисполнением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процентов за неправомерное пользование денежными средствами Заказчика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подлежащей оплате задолженности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 либо в связи с произошедшей переплатой по Договору в пользу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(сверх суммы, уже учтенной в выставленных претензиях).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7.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 случае принятия решения о списании обеспечительного платежа Заказчик в течение 3 (трех) рабочих дней направляет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Возврат обеспечительного платежа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до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 а не отдельных его частей или этапов, не допускается.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tabs>
          <w:tab w:val="left" w:pos="840" w:leader="none"/>
        </w:tabs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Досрочный возврат обеспечительного платежа до наступления указа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нных 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Cs w:val="26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замены Поставщиком обеспечите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льного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Заказчиком альтернативного способа обеспечения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9.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Возврат обеспечительного платежа, предоставленного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в качестве обеспечения исполнения обязательств по Договору, за вычетом средств, использованных Заказчиком для возмещения своих убытков, связанных с нарушением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условий Договора, производится в течение 30 (Тридцати) календарных дней со дня подписания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сторонами итоговых документов, предусмотренных договором, подтверждающих выполнение контрагентом поставки товаров в полном объеме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 условии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обеспечения исполнения обязательств в гарантийный период в соответствии с требованиями, установленными Договором.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10.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 случае непредоставления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обеспечения исполнения обязательств в гарантийный период возврат обеспечительного платежа Заказчиком не осуществляется.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11.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При расторжении (прекращении) Договора по основаниям, связанным с неисполнением/ненадлежащем исполнением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по Договору, обеспечительный платеж возврату не подлежит.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12.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Стороны установили, что на сумму обеспечительного платежа начисление процентов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не осуществляется.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ПОКУПАТЕЛЬ                </w:t>
      </w:r>
      <w:r>
        <w:rPr>
          <w:rFonts w:ascii="Tinos" w:hAnsi="Tinos" w:eastAsia="Tinos" w:cs="Tinos"/>
          <w:bCs/>
          <w:lang w:eastAsia="ru-RU"/>
        </w:rPr>
        <w:tab/>
        <w:t xml:space="preserve">                                       ПОСТАВЩИК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_____________________/</w:t>
      </w:r>
      <w:r>
        <w:rPr>
          <w:rFonts w:ascii="Tinos" w:hAnsi="Tinos" w:eastAsia="Tinos" w:cs="Tinos"/>
          <w:lang w:eastAsia="ru-RU"/>
        </w:rPr>
        <w:t xml:space="preserve"> А.В. Лукин</w:t>
      </w:r>
      <w:r>
        <w:rPr>
          <w:rFonts w:ascii="Tinos" w:hAnsi="Tinos" w:eastAsia="Tinos" w:cs="Tinos"/>
          <w:bCs/>
          <w:lang w:eastAsia="ru-RU"/>
        </w:rPr>
        <w:t xml:space="preserve"> /                          _____________________/ /</w:t>
      </w:r>
      <w:r>
        <w:rPr>
          <w:rFonts w:ascii="Tinos" w:hAnsi="Tinos" w:eastAsia="Tinos" w:cs="Tinos"/>
          <w:lang w:eastAsia="ru-RU"/>
        </w:rPr>
        <w:t xml:space="preserve">  </w:t>
      </w:r>
      <w:r>
        <w:rPr>
          <w:rFonts w:ascii="Tinos" w:hAnsi="Tinos" w:cs="Tinos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</w:rPr>
        <w:t xml:space="preserve">М.П.                                                                                   М.П.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7.7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к Договору № 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 от «___» ________ 20__ 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Форма соглашения об обеспечительном платеже в качестве обеспечения исполнения обязательств в гарантийный период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tabs>
          <w:tab w:val="left" w:pos="84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widowControl w:val="off"/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полное наименование Общества)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(сокращенное наименование: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, ИНН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, ОГРН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О., должность),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__________________(реквизиты доверенности),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с одной стороны, и 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(наименование, ОГРН, ИНН),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__________________________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О., должность),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11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__________________(реквизиты доверенности),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widowControl w:val="off"/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1.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Поставщик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в порядке статьи 381.1 Гражданского кодекса Российской Федерации предоставляет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Заказчику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в качестве способа обесп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ечения исполнения обязательств в гарантийный период обеспечительный платеж в размере 5 % от цены Договора (включая НДС) на сумму ___________ (____________________) рублей на период гарантийного срока до момента подписания Протокола об отсутствии претензий.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2. Перечисление обеспечительного платежа осуществляется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на обособленный счет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Заказчика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. Перечисление обеспечительного платежа должно быть совершено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не позднее даты начала гарантийного срока по договору.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Открытие и обслуживание данного счета осуществляется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3.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предоставляет обеспечительный платеж на период гарантийной эксплуатации Товара до момента окончания гарантийного срока и подписания Протокола об отсутствии взаимных претензий.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4. Обеспечительный платеж может быть использован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для покрытия расходов, связанных с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обязательств в гарантийный период.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5. Сумма списания обеспечительного платежа определяется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с учетом следующих положений: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- сумма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а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в гарантийный период; 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- размера обеспечительного платежа.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6. Для 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перед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определяется с учетом: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суммы выставленных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и неоплаченных претензий (кроме претензий, отозванных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) в связи с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обязательств в гарантийный период;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имеет право на основании Договора либо закона в связи с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которые понес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в связи с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причиненных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процентов за неправомерное пользование денежными средствами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Заказчика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 в связи с неисполнением/ненадлежащим исполнением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Подрядчика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перед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(сверх суммы, уже учтенной в выставленных претензиях).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7. В случае принятия решения о списании обеспечительного платежа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в течение 3 (трех) рабочих дней направляет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8. Возврат обеспечительного платежа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до момента окончания гарантийного срока и подписания сторонами протокола об отсутствии взаимных претензий не допускается.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В случае замены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осуществляется в течение 30 (тридцати) календарных дней со дня получения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альтернативного способа обеспечения.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Style w:val="1712"/>
          <w:rFonts w:ascii="Times New Roman" w:hAnsi="Times New Roman" w:cs="Times New Roman"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9. Возврат обеспечительного платежа, предоставленного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в качестве обеспечения исполнения обязательств в гарантийный период, за вычетом средств, использованных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для возмещения своих убытков, связанных с неисполнением/ ненадлежащим исполнением обязательств </w:t>
      </w:r>
      <w:r>
        <w:rPr>
          <w:rStyle w:val="1711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в гарантийный период осуществляется </w:t>
      </w:r>
      <w:r>
        <w:rPr>
          <w:rStyle w:val="1712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 в течение 30 дней со дня окончания гарантийного срока и подписания Протокола об отсутствии взаимных претензий. </w:t>
      </w:r>
      <w:r>
        <w:rPr>
          <w:rStyle w:val="1712"/>
          <w:rFonts w:ascii="Times New Roman" w:hAnsi="Times New Roman" w:cs="Times New Roman"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10. Стороны установили, что на сумму обеспечительного платежа начисление процентов </w:t>
      </w:r>
      <w:r>
        <w:rPr>
          <w:rStyle w:val="1711"/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Style w:val="1712"/>
          <w:rFonts w:ascii="Times New Roman" w:hAnsi="Times New Roman" w:eastAsia="Times New Roman" w:cs="Times New Roman"/>
          <w:sz w:val="24"/>
          <w:szCs w:val="24"/>
        </w:rPr>
        <w:t xml:space="preserve">ом не осуществляется.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ПОКУПАТЕЛЬ                </w:t>
      </w:r>
      <w:r>
        <w:rPr>
          <w:rFonts w:ascii="Tinos" w:hAnsi="Tinos" w:eastAsia="Tinos" w:cs="Tinos"/>
          <w:bCs/>
          <w:lang w:eastAsia="ru-RU"/>
        </w:rPr>
        <w:tab/>
        <w:t xml:space="preserve">                                       ПОСТАВЩИК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lang w:eastAsia="ru-RU"/>
        </w:rPr>
        <w:t xml:space="preserve">_____________________/</w:t>
      </w:r>
      <w:r>
        <w:rPr>
          <w:rFonts w:ascii="Tinos" w:hAnsi="Tinos" w:eastAsia="Tinos" w:cs="Tinos"/>
          <w:lang w:eastAsia="ru-RU"/>
        </w:rPr>
        <w:t xml:space="preserve"> А.В. Лукин</w:t>
      </w:r>
      <w:r>
        <w:rPr>
          <w:rFonts w:ascii="Tinos" w:hAnsi="Tinos" w:eastAsia="Tinos" w:cs="Tinos"/>
          <w:bCs/>
          <w:lang w:eastAsia="ru-RU"/>
        </w:rPr>
        <w:t xml:space="preserve"> /                          _____________________/ /</w:t>
      </w:r>
      <w:r>
        <w:rPr>
          <w:rFonts w:ascii="Tinos" w:hAnsi="Tinos" w:eastAsia="Tinos" w:cs="Tinos"/>
          <w:lang w:eastAsia="ru-RU"/>
        </w:rPr>
        <w:t xml:space="preserve">  </w:t>
      </w:r>
      <w:r>
        <w:rPr>
          <w:rFonts w:ascii="Tinos" w:hAnsi="Tinos" w:cs="Tinos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nos" w:hAnsi="Tinos" w:eastAsia="Tinos" w:cs="Tinos"/>
        </w:rPr>
        <w:t xml:space="preserve">М.П. 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lang w:eastAsia="ru-RU"/>
              </w:rPr>
              <w:t xml:space="preserve"> </w:t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7" w:h="16839" w:orient="portrait"/>
      <w:pgMar w:top="709" w:right="708" w:bottom="709" w:left="1134" w:header="68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inos">
    <w:panose1 w:val="02000603000000000000"/>
  </w:font>
  <w:font w:name="HiddenHorzOCl">
    <w:panose1 w:val="02000603000000000000"/>
  </w:font>
  <w:font w:name="Symbol">
    <w:panose1 w:val="05050102010706020507"/>
  </w:font>
  <w:font w:name="Consolas">
    <w:panose1 w:val="020B0609020204030204"/>
  </w:font>
  <w:font w:name="open-sans">
    <w:panose1 w:val="020B0606030504020204"/>
  </w:font>
  <w:font w:name="Courier New">
    <w:panose1 w:val="02070309020205020404"/>
  </w:font>
  <w:font w:name="Mangal">
    <w:panose1 w:val="02040503050203030202"/>
  </w:font>
  <w:font w:name="Book Antiqua">
    <w:panose1 w:val="02040602050305030304"/>
  </w:font>
  <w:font w:name="Tahoma">
    <w:panose1 w:val="020B0604030504040204"/>
  </w:font>
  <w:font w:name="Helvetica">
    <w:panose1 w:val="020B0604020202020204"/>
  </w:font>
  <w:font w:name="SimSun">
    <w:panose1 w:val="02010600030101010101"/>
  </w:font>
  <w:font w:name="Calibri">
    <w:panose1 w:val="020F0502020204030204"/>
  </w:font>
  <w:font w:name="Times New Roman">
    <w:panose1 w:val="020206030504050203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Arial Unicode MS">
    <w:panose1 w:val="020B0604020202020204"/>
  </w:font>
  <w:font w:name="Tms Rmn">
    <w:panose1 w:val="02000603000000000000"/>
  </w:font>
  <w:font w:name="Lucida Sans Unicode">
    <w:panose1 w:val="020B0602030504020204"/>
  </w:font>
  <w:font w:name="Verdana">
    <w:panose1 w:val="020B060403050404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7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73"/>
      <w:jc w:val="right"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857250" cy="228600"/>
              <wp:effectExtent l="0" t="0" r="0" b="0"/>
              <wp:docPr id="1" name="Рисунок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57250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67.50pt;height:18.00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pStyle w:val="1286"/>
        <w:ind w:firstLine="284"/>
        <w:jc w:val="both"/>
        <w:tabs>
          <w:tab w:val="left" w:pos="7513" w:leader="none"/>
        </w:tabs>
        <w:rPr>
          <w:rFonts w:ascii="Times New Roman" w:hAnsi="Times New Roman" w:cs="Times New Roman"/>
          <w:sz w:val="22"/>
          <w:szCs w:val="2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Style w:val="1288"/>
        </w:rPr>
        <w:footnoteRef/>
      </w:r>
      <w:r>
        <w:rPr>
          <w:rStyle w:val="1288"/>
        </w:rPr>
        <w:t xml:space="preserve"> </w:t>
      </w:r>
      <w:r>
        <w:rPr>
          <w:rFonts w:ascii="Times New Roman" w:hAnsi="Times New Roman" w:cs="Times New Roman"/>
          <w:i/>
        </w:rPr>
        <w:t xml:space="preserve">Период оплаты может быть у</w:t>
      </w:r>
      <w:r>
        <w:rPr>
          <w:rFonts w:ascii="Times New Roman" w:hAnsi="Times New Roman" w:cs="Times New Roman"/>
          <w:i/>
        </w:rPr>
        <w:t xml:space="preserve">величен в соответствии с условиями закупочной документации, ОРД Общества. Если срок оплаты установлен нормативно-правовым актом или организационно-распорядительным документом Общества, то данное условие должно быть приведено в соответствие с таким НПА/ОРД.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4">
    <w:p>
      <w:pPr>
        <w:pStyle w:val="1270"/>
        <w:ind w:left="0"/>
        <w:jc w:val="both"/>
        <w:tabs>
          <w:tab w:val="left" w:pos="7513" w:leader="none"/>
        </w:tabs>
        <w:rPr>
          <w:rFonts w:ascii="Times New Roman" w:hAnsi="Times New Roman" w:cs="Times New Roman"/>
        </w:rPr>
        <w:pBdr>
          <w:left w:val="single" w:color="000000" w:sz="4" w:space="3"/>
        </w:pBdr>
      </w:pPr>
      <w:r>
        <w:rPr>
          <w:rStyle w:val="128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договором предусмотрено обеспечение обязательств. При этом, в любом случае, срок оплаты по Договору должен соответствовать требованиям, установленным нормативными правовыми актами Российской Федерации.</w:t>
      </w:r>
      <w:r>
        <w:rPr>
          <w:rFonts w:ascii="Times New Roman" w:hAnsi="Times New Roman" w:cs="Times New Roman"/>
        </w:rPr>
      </w:r>
    </w:p>
  </w:footnote>
  <w:footnote w:id="5">
    <w:p>
      <w:pPr>
        <w:pStyle w:val="1286"/>
        <w:ind w:left="142"/>
        <w:jc w:val="both"/>
        <w:tabs>
          <w:tab w:val="left" w:pos="-142" w:leader="none"/>
        </w:tabs>
        <w:rPr>
          <w:rFonts w:ascii="Times New Roman" w:hAnsi="Times New Roman" w:cs="Times New Roman"/>
        </w:rPr>
      </w:pPr>
      <w:r>
        <w:rPr>
          <w:rStyle w:val="128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</w:rPr>
        <w:t xml:space="preserve"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</w:footnote>
  <w:footnote w:id="6">
    <w:p>
      <w:pPr>
        <w:ind w:right="40" w:firstLine="284"/>
        <w:jc w:val="both"/>
        <w:spacing w:after="0" w:line="240" w:lineRule="auto"/>
        <w:rPr>
          <w:rFonts w:ascii="Times New Roman" w:hAnsi="Times New Roman" w:eastAsia="Arial" w:cs="Times New Roman"/>
          <w:color w:val="000000"/>
          <w:sz w:val="20"/>
          <w:szCs w:val="20"/>
          <w:lang w:eastAsia="ru-RU"/>
        </w:rPr>
        <w:pBdr>
          <w:left w:val="single" w:color="000000" w:sz="4" w:space="4"/>
        </w:pBdr>
      </w:pPr>
      <w:r>
        <w:rPr>
          <w:rStyle w:val="1288"/>
        </w:rPr>
        <w:footnoteRef/>
      </w:r>
      <w:r>
        <w:rPr>
          <w:rFonts w:ascii="Times New Roman" w:hAnsi="Times New Roman" w:eastAsia="Arial" w:cs="Times New Roman"/>
          <w:i/>
          <w:color w:val="000000"/>
          <w:sz w:val="20"/>
          <w:szCs w:val="20"/>
          <w:lang w:eastAsia="ru-RU"/>
        </w:rPr>
        <w:t xml:space="preserve">Пункт включается при заключении договоров с субъектами малого и среднего предпринимательства.</w:t>
      </w:r>
      <w:r>
        <w:rPr>
          <w:rFonts w:ascii="Times New Roman" w:hAnsi="Times New Roman" w:eastAsia="Arial" w:cs="Times New Roman"/>
          <w:color w:val="000000"/>
          <w:sz w:val="20"/>
          <w:szCs w:val="20"/>
          <w:lang w:eastAsia="ru-RU"/>
        </w:rPr>
      </w:r>
    </w:p>
  </w:footnote>
  <w:footnote w:id="7">
    <w:p>
      <w:pPr>
        <w:pStyle w:val="1286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28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8">
    <w:p>
      <w:pPr>
        <w:pStyle w:val="1286"/>
        <w:ind w:firstLine="284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Style w:val="128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rFonts w:ascii="Times New Roman" w:hAnsi="Times New Roman" w:cs="Times New Roman"/>
          <w:sz w:val="22"/>
          <w:szCs w:val="22"/>
          <w:lang w:eastAsia="ar-SA"/>
        </w:rPr>
      </w:r>
    </w:p>
  </w:footnote>
  <w:footnote w:id="9">
    <w:p>
      <w:pPr>
        <w:pStyle w:val="1286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28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Включается, если договором предусмотрено обеспечение обязательств.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10">
    <w:p>
      <w:pPr>
        <w:pStyle w:val="1286"/>
      </w:pPr>
      <w:r/>
      <w:r/>
    </w:p>
  </w:footnote>
  <w:footnote w:id="11">
    <w:p>
      <w:pPr>
        <w:pStyle w:val="1286"/>
        <w:jc w:val="both"/>
        <w:rPr>
          <w:rFonts w:ascii="Times New Roman" w:hAnsi="Times New Roman" w:cs="Times New Roman"/>
        </w:rPr>
      </w:pPr>
      <w:r>
        <w:rPr>
          <w:rStyle w:val="128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Если на проверку направляется несколько независимых гарантий по 1 договору, критерием является их общая сумма.</w:t>
      </w:r>
      <w:r>
        <w:rPr>
          <w:rFonts w:ascii="Times New Roman" w:hAnsi="Times New Roman" w:cs="Times New Roman"/>
        </w:rPr>
      </w:r>
    </w:p>
  </w:footnote>
  <w:footnote w:id="12">
    <w:p>
      <w:pPr>
        <w:pStyle w:val="1286"/>
      </w:pPr>
      <w:r>
        <w:rPr>
          <w:rStyle w:val="128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Предоставляется в тех случаях, когда Гарант является кредитной организацией.</w:t>
      </w:r>
      <w:r/>
    </w:p>
  </w:footnote>
  <w:footnote w:id="13">
    <w:p>
      <w:pPr>
        <w:pStyle w:val="1286"/>
        <w:jc w:val="both"/>
        <w:rPr>
          <w:rFonts w:ascii="Times New Roman" w:hAnsi="Times New Roman" w:cs="Times New Roman"/>
        </w:rPr>
      </w:pPr>
      <w:r>
        <w:rPr>
          <w:rStyle w:val="128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Если на проверку направляется несколько независимых гарантий по 1 договору, критерием является их общая сумма.</w:t>
      </w:r>
      <w:r>
        <w:rPr>
          <w:rFonts w:ascii="Times New Roman" w:hAnsi="Times New Roman" w:cs="Times New Roman"/>
        </w:rPr>
      </w:r>
    </w:p>
  </w:footnote>
  <w:footnote w:id="14">
    <w:p>
      <w:pPr>
        <w:pStyle w:val="1286"/>
        <w:jc w:val="both"/>
      </w:pPr>
      <w:r>
        <w:rPr>
          <w:rStyle w:val="1288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 xml:space="preserve">Прямой </w:t>
      </w:r>
      <w:r>
        <w:rPr>
          <w:rFonts w:ascii="Times New Roman" w:hAnsi="Times New Roman" w:cs="Times New Roman"/>
          <w:lang w:eastAsia="en-US"/>
        </w:rPr>
        <w:t xml:space="preserve">или косвенный контроль Банка России или Российской Федерации определяется на основани</w:t>
      </w:r>
      <w:r>
        <w:rPr>
          <w:rFonts w:ascii="Times New Roman" w:hAnsi="Times New Roman" w:cs="Times New Roman"/>
          <w:lang w:eastAsia="en-US"/>
        </w:rPr>
        <w:t xml:space="preserve">и информации, указанной в перечне кредитных организаций, соответствующих требованиям, установленным ч. 1 ст. 2 Федерального закона от 21.07.2014 № 213-ФЗ, размещенного на сайте Банка России http://www.cbr.ru/credit/ (в случае если соответствующая информаци</w:t>
      </w:r>
      <w:r>
        <w:rPr>
          <w:rFonts w:ascii="Times New Roman" w:hAnsi="Times New Roman" w:cs="Times New Roman"/>
          <w:lang w:eastAsia="en-US"/>
        </w:rP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15">
    <w:p>
      <w:pPr>
        <w:pStyle w:val="1286"/>
        <w:jc w:val="both"/>
      </w:pPr>
      <w:r>
        <w:rPr>
          <w:rStyle w:val="128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rPr>
          <w:rFonts w:ascii="Times New Roman" w:hAnsi="Times New Roman"/>
        </w:rP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rPr>
          <w:rFonts w:ascii="Times New Roman" w:hAnsi="Times New Roman"/>
        </w:rP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/>
    </w:p>
  </w:footnote>
  <w:footnote w:id="16">
    <w:p>
      <w:pPr>
        <w:pStyle w:val="1286"/>
      </w:pPr>
      <w:r>
        <w:rPr>
          <w:rStyle w:val="1288"/>
        </w:rPr>
        <w:footnoteRef/>
      </w:r>
      <w:r>
        <w:rPr>
          <w:rFonts w:ascii="Times New Roman" w:hAnsi="Times New Roman"/>
        </w:rPr>
        <w:t xml:space="preserve"> Применяется в тех случаях, когда Гарант является кредитной организацией.</w:t>
      </w:r>
      <w:r/>
    </w:p>
  </w:footnote>
  <w:footnote w:id="17">
    <w:p>
      <w:pPr>
        <w:pStyle w:val="1286"/>
        <w:jc w:val="both"/>
        <w:rPr>
          <w:rFonts w:ascii="Times New Roman" w:hAnsi="Times New Roman"/>
        </w:rPr>
      </w:pPr>
      <w:r>
        <w:rPr>
          <w:rStyle w:val="128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части гарантов, предоставивших независимые гарантии в рамках договора, заключаемого по резуль</w:t>
      </w:r>
      <w:r>
        <w:rPr>
          <w:rFonts w:ascii="Times New Roman" w:hAnsi="Times New Roman"/>
        </w:rPr>
        <w:t xml:space="preserve">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Покупатель вправе потребо</w:t>
      </w:r>
      <w:r>
        <w:rPr>
          <w:rFonts w:ascii="Times New Roman" w:hAnsi="Times New Roman"/>
        </w:rPr>
        <w:t xml:space="preserve">вать замену гарантии в случае, если гарант исключен из перечня, предусмотренного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</w:t>
      </w:r>
      <w:r>
        <w:rPr>
          <w:rFonts w:ascii="Times New Roman" w:hAnsi="Times New Roman"/>
        </w:rPr>
      </w:r>
    </w:p>
  </w:footnote>
  <w:footnote w:id="18">
    <w:p>
      <w:pPr>
        <w:pStyle w:val="1286"/>
        <w:jc w:val="both"/>
        <w:rPr>
          <w:rFonts w:ascii="Times New Roman" w:hAnsi="Times New Roman" w:cs="Times New Roman"/>
        </w:rPr>
      </w:pPr>
      <w:r>
        <w:rPr>
          <w:rStyle w:val="1711"/>
          <w:i/>
          <w:iCs/>
          <w:sz w:val="26"/>
          <w:szCs w:val="26"/>
          <w:vertAlign w:val="superscript"/>
        </w:rPr>
        <w:t xml:space="preserve">1</w:t>
      </w:r>
      <w:r>
        <w:rPr>
          <w:rStyle w:val="1712"/>
        </w:rPr>
        <w:t xml:space="preserve"> </w:t>
      </w:r>
      <w:r>
        <w:rPr>
          <w:rStyle w:val="1712"/>
          <w:rFonts w:ascii="Times New Roman" w:hAnsi="Times New Roman" w:eastAsia="Times New Roman" w:cs="Times New Roman"/>
        </w:rPr>
        <w:t xml:space="preserve"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>
        <w:rPr>
          <w:rFonts w:ascii="Times New Roman" w:hAnsi="Times New Roman" w:cs="Times New Roman"/>
        </w:rPr>
      </w:r>
    </w:p>
  </w:footnote>
  <w:footnote w:id="19">
    <w:p>
      <w:pPr>
        <w:pStyle w:val="1286"/>
        <w:jc w:val="both"/>
      </w:pPr>
      <w:r>
        <w:rPr>
          <w:rStyle w:val="1711"/>
          <w:i/>
          <w:iCs/>
          <w:sz w:val="26"/>
          <w:szCs w:val="26"/>
          <w:vertAlign w:val="superscript"/>
        </w:rPr>
        <w:t xml:space="preserve">1</w:t>
      </w:r>
      <w:r>
        <w:rPr>
          <w:rStyle w:val="1712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0">
    <w:p>
      <w:pPr>
        <w:pStyle w:val="1286"/>
        <w:jc w:val="both"/>
      </w:pPr>
      <w:r>
        <w:rPr>
          <w:rStyle w:val="1288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1">
    <w:p>
      <w:pPr>
        <w:pStyle w:val="1286"/>
        <w:jc w:val="both"/>
      </w:pPr>
      <w:r>
        <w:rPr>
          <w:rStyle w:val="1711"/>
          <w:i/>
          <w:iCs/>
          <w:sz w:val="26"/>
          <w:szCs w:val="26"/>
          <w:vertAlign w:val="superscript"/>
        </w:rPr>
        <w:t xml:space="preserve">1</w:t>
      </w:r>
      <w:r>
        <w:rPr>
          <w:rStyle w:val="1712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2">
    <w:p>
      <w:pPr>
        <w:pStyle w:val="1286"/>
        <w:jc w:val="both"/>
      </w:pPr>
      <w:r>
        <w:rPr>
          <w:rStyle w:val="1288"/>
        </w:rPr>
        <w:t xml:space="preserve">1</w:t>
      </w:r>
      <w:r>
        <w:t xml:space="preserve"> В случае заключения соглашения об обеспечительном платеже взамен иног</w:t>
      </w:r>
      <w:r>
        <w:t xml:space="preserve">о способа обеспечения в период действия Договора текст, выделенный курсивом, излагается в следующей редакции: в порядке п. _________ договора________ (указывается номер и дата договора), именуемый в дальнейшем «Договор», на _________ (наименование титула).</w:t>
      </w:r>
      <w:r/>
    </w:p>
  </w:footnote>
  <w:footnote w:id="23">
    <w:p>
      <w:pPr>
        <w:pStyle w:val="1286"/>
        <w:jc w:val="both"/>
      </w:pPr>
      <w:r>
        <w:rPr>
          <w:rStyle w:val="1288"/>
        </w:rPr>
        <w:t xml:space="preserve">2</w:t>
      </w:r>
      <w: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</w:t>
      </w:r>
      <w:r>
        <w:t xml:space="preserve">льного соглашения, в соответствии с условиями которого цена договора увеличена и превысила начальную (максимальную) цену договора (цену лота), размер обеспечения в этом случае определяется исходя из цены договора с учетом состоявшегося увеличения ее суммы.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35054312"/>
      <w:docPartObj>
        <w:docPartGallery w:val="Page Numbers (Top of Page)"/>
        <w:docPartUnique w:val="true"/>
      </w:docPartObj>
      <w:rPr>
        <w:rFonts w:ascii="Times New Roman" w:hAnsi="Times New Roman" w:cs="Times New Roman"/>
      </w:rPr>
    </w:sdtPr>
    <w:sdtContent>
      <w:p>
        <w:pPr>
          <w:pStyle w:val="13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</w:rPr>
          <w:t xml:space="preserve">22</w:t>
        </w:r>
        <w:r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 w:cs="Times New Roman"/>
          </w:rPr>
        </w:r>
      </w:p>
    </w:sdtContent>
  </w:sdt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t xml:space="preserve">91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357"/>
    <w:lvl w:ilvl="0">
      <w:start w:val="1"/>
      <w:numFmt w:val="decimal"/>
      <w:pStyle w:val="1357"/>
      <w:isLgl w:val="false"/>
      <w:suff w:val="tab"/>
      <w:lvlText w:val="%1)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)"/>
      <w:lvlJc w:val="left"/>
      <w:pPr>
        <w:ind w:left="861" w:firstLine="426"/>
        <w:tabs>
          <w:tab w:val="num" w:pos="14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)"/>
      <w:lvlJc w:val="left"/>
      <w:pPr>
        <w:ind w:left="1581" w:firstLine="426"/>
        <w:tabs>
          <w:tab w:val="num" w:pos="21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)"/>
      <w:lvlJc w:val="left"/>
      <w:pPr>
        <w:ind w:left="2301" w:firstLine="426"/>
        <w:tabs>
          <w:tab w:val="num" w:pos="28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5)"/>
      <w:lvlJc w:val="left"/>
      <w:pPr>
        <w:ind w:left="3021" w:firstLine="426"/>
        <w:tabs>
          <w:tab w:val="num" w:pos="358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)"/>
      <w:lvlJc w:val="left"/>
      <w:pPr>
        <w:ind w:left="3741" w:firstLine="426"/>
        <w:tabs>
          <w:tab w:val="num" w:pos="43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)"/>
      <w:lvlJc w:val="left"/>
      <w:pPr>
        <w:ind w:left="4461" w:firstLine="426"/>
        <w:tabs>
          <w:tab w:val="num" w:pos="50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)"/>
      <w:lvlJc w:val="left"/>
      <w:pPr>
        <w:ind w:left="5181" w:firstLine="426"/>
        <w:tabs>
          <w:tab w:val="num" w:pos="57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)"/>
      <w:lvlJc w:val="left"/>
      <w:pPr>
        <w:ind w:left="5901" w:firstLine="426"/>
        <w:tabs>
          <w:tab w:val="num" w:pos="64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>
    <w:multiLevelType w:val="hybridMultilevel"/>
    <w:styleLink w:val="1302"/>
    <w:lvl w:ilvl="0">
      <w:start w:val="1"/>
      <w:numFmt w:val="decimal"/>
      <w:pStyle w:val="1302"/>
      <w:isLgl w:val="false"/>
      <w:suff w:val="tab"/>
      <w:lvlText w:val="%1."/>
      <w:lvlJc w:val="left"/>
      <w:pPr>
        <w:ind w:left="709" w:firstLine="0"/>
        <w:tabs>
          <w:tab w:val="num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518" w:firstLine="518"/>
        <w:tabs>
          <w:tab w:val="num" w:pos="1227" w:leader="none"/>
          <w:tab w:val="left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238" w:hanging="101"/>
        <w:tabs>
          <w:tab w:val="num" w:pos="19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1958" w:firstLine="544"/>
        <w:tabs>
          <w:tab w:val="left" w:pos="1418" w:leader="none"/>
          <w:tab w:val="left" w:pos="1560" w:leader="none"/>
          <w:tab w:val="num" w:pos="26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678" w:firstLine="556"/>
        <w:tabs>
          <w:tab w:val="left" w:pos="1418" w:leader="none"/>
          <w:tab w:val="left" w:pos="1560" w:leader="none"/>
          <w:tab w:val="num" w:pos="33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398" w:hanging="65"/>
        <w:tabs>
          <w:tab w:val="left" w:pos="1418" w:leader="none"/>
          <w:tab w:val="left" w:pos="1560" w:leader="none"/>
          <w:tab w:val="num" w:pos="410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118" w:firstLine="580"/>
        <w:tabs>
          <w:tab w:val="left" w:pos="1418" w:leader="none"/>
          <w:tab w:val="left" w:pos="1560" w:leader="none"/>
          <w:tab w:val="num" w:pos="4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4838" w:firstLine="592"/>
        <w:tabs>
          <w:tab w:val="left" w:pos="1418" w:leader="none"/>
          <w:tab w:val="left" w:pos="1560" w:leader="none"/>
          <w:tab w:val="num" w:pos="55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558" w:hanging="29"/>
        <w:tabs>
          <w:tab w:val="left" w:pos="1418" w:leader="none"/>
          <w:tab w:val="left" w:pos="1560" w:leader="none"/>
          <w:tab w:val="num" w:pos="62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styleLink w:val="1315"/>
    <w:lvl w:ilvl="0">
      <w:start w:val="1"/>
      <w:numFmt w:val="bullet"/>
      <w:pStyle w:val="1315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>
    <w:multiLevelType w:val="hybridMultilevel"/>
    <w:styleLink w:val="1318"/>
    <w:lvl w:ilvl="0">
      <w:start w:val="1"/>
      <w:numFmt w:val="bullet"/>
      <w:pStyle w:val="1318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134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134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134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134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134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134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134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08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6" w:hanging="108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08" w:hanging="1440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2880" w:hanging="1440"/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80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216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 w:cs="Times New Roman"/>
      </w:rPr>
    </w:lvl>
  </w:abstractNum>
  <w:abstractNum w:abstractNumId="9">
    <w:multiLevelType w:val="hybridMultilevel"/>
    <w:styleLink w:val="1303"/>
    <w:lvl w:ilvl="0">
      <w:start w:val="1"/>
      <w:numFmt w:val="bullet"/>
      <w:pStyle w:val="1303"/>
      <w:isLgl w:val="false"/>
      <w:suff w:val="tab"/>
      <w:lvlText w:val="−"/>
      <w:lvlJc w:val="left"/>
      <w:pPr>
        <w:ind w:left="1512" w:firstLine="277"/>
        <w:tabs>
          <w:tab w:val="left" w:pos="900" w:leader="none"/>
          <w:tab w:val="left" w:pos="1080" w:leader="none"/>
          <w:tab w:val="left" w:pos="1440" w:leader="none"/>
          <w:tab w:val="num" w:pos="22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191" w:firstLine="518"/>
        <w:tabs>
          <w:tab w:val="num" w:pos="900" w:leader="none"/>
          <w:tab w:val="left" w:pos="1080" w:leader="none"/>
          <w:tab w:val="left" w:pos="14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92" w:firstLine="490"/>
        <w:tabs>
          <w:tab w:val="left" w:pos="900" w:leader="none"/>
          <w:tab w:val="left" w:pos="1080" w:leader="none"/>
          <w:tab w:val="left" w:pos="1440" w:leader="none"/>
          <w:tab w:val="num" w:pos="23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312" w:firstLine="490"/>
        <w:tabs>
          <w:tab w:val="left" w:pos="900" w:leader="none"/>
          <w:tab w:val="left" w:pos="1080" w:leader="none"/>
          <w:tab w:val="left" w:pos="1440" w:leader="none"/>
          <w:tab w:val="num" w:pos="30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032" w:firstLine="490"/>
        <w:tabs>
          <w:tab w:val="left" w:pos="900" w:leader="none"/>
          <w:tab w:val="left" w:pos="1080" w:leader="none"/>
          <w:tab w:val="left" w:pos="1440" w:leader="none"/>
          <w:tab w:val="num" w:pos="374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752" w:firstLine="490"/>
        <w:tabs>
          <w:tab w:val="left" w:pos="900" w:leader="none"/>
          <w:tab w:val="left" w:pos="1080" w:leader="none"/>
          <w:tab w:val="left" w:pos="1440" w:leader="none"/>
          <w:tab w:val="num" w:pos="446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472" w:firstLine="490"/>
        <w:tabs>
          <w:tab w:val="left" w:pos="900" w:leader="none"/>
          <w:tab w:val="left" w:pos="1080" w:leader="none"/>
          <w:tab w:val="left" w:pos="1440" w:leader="none"/>
          <w:tab w:val="num" w:pos="518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192" w:firstLine="490"/>
        <w:tabs>
          <w:tab w:val="left" w:pos="900" w:leader="none"/>
          <w:tab w:val="left" w:pos="1080" w:leader="none"/>
          <w:tab w:val="left" w:pos="1440" w:leader="none"/>
          <w:tab w:val="num" w:pos="59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912" w:firstLine="490"/>
        <w:tabs>
          <w:tab w:val="left" w:pos="900" w:leader="none"/>
          <w:tab w:val="left" w:pos="1080" w:leader="none"/>
          <w:tab w:val="left" w:pos="1440" w:leader="none"/>
          <w:tab w:val="num" w:pos="662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0">
    <w:multiLevelType w:val="hybridMultilevel"/>
    <w:styleLink w:val="1281"/>
    <w:lvl w:ilvl="0">
      <w:start w:val="1"/>
      <w:numFmt w:val="decimal"/>
      <w:pStyle w:val="1281"/>
      <w:isLgl w:val="false"/>
      <w:suff w:val="tab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540" w:firstLine="540"/>
        <w:tabs>
          <w:tab w:val="num" w:pos="1249" w:leader="none"/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2700" w:hanging="92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8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450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5580" w:hanging="164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styleLink w:val="1350"/>
    <w:lvl w:ilvl="0">
      <w:start w:val="1"/>
      <w:numFmt w:val="bullet"/>
      <w:pStyle w:val="1350"/>
      <w:isLgl w:val="false"/>
      <w:suff w:val="tab"/>
      <w:lvlText w:val="-"/>
      <w:lvlJc w:val="left"/>
      <w:pPr>
        <w:ind w:left="284" w:firstLine="425"/>
        <w:tabs>
          <w:tab w:val="num" w:pos="993" w:leader="none"/>
          <w:tab w:val="left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19" w:firstLine="490"/>
        <w:tabs>
          <w:tab w:val="num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38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44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>
    <w:multiLevelType w:val="hybridMultilevel"/>
    <w:styleLink w:val="1284"/>
    <w:lvl w:ilvl="0">
      <w:start w:val="1"/>
      <w:numFmt w:val="bullet"/>
      <w:pStyle w:val="1284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5">
    <w:multiLevelType w:val="hybridMultilevel"/>
    <w:styleLink w:val="1322"/>
    <w:lvl w:ilvl="0">
      <w:start w:val="1"/>
      <w:numFmt w:val="bullet"/>
      <w:pStyle w:val="1322"/>
      <w:isLgl w:val="false"/>
      <w:suff w:val="tab"/>
      <w:lvlText w:val="-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284" w:leader="none"/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284" w:leader="none"/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284" w:leader="none"/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284" w:leader="none"/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284" w:leader="none"/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284" w:leader="none"/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284" w:leader="none"/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284" w:leader="none"/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>
    <w:multiLevelType w:val="hybridMultilevel"/>
    <w:lvl w:ilvl="0">
      <w:start w:val="4"/>
      <w:numFmt w:val="decimal"/>
      <w:pStyle w:val="1499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styleLink w:val="1356"/>
    <w:lvl w:ilvl="0">
      <w:start w:val="1"/>
      <w:numFmt w:val="decimal"/>
      <w:pStyle w:val="1356"/>
      <w:isLgl w:val="false"/>
      <w:suff w:val="tab"/>
      <w:lvlText w:val="%1.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" w:hanging="12"/>
        <w:tabs>
          <w:tab w:val="num" w:pos="11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firstLine="414"/>
        <w:tabs>
          <w:tab w:val="num" w:pos="169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60" w:firstLine="414"/>
        <w:tabs>
          <w:tab w:val="num" w:pos="1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firstLine="54"/>
        <w:tabs>
          <w:tab w:val="num" w:pos="232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>
    <w:multiLevelType w:val="hybridMultilevel"/>
    <w:styleLink w:val="1334"/>
    <w:lvl w:ilvl="0">
      <w:start w:val="1"/>
      <w:numFmt w:val="bullet"/>
      <w:pStyle w:val="1334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58"/>
        <w:tabs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158"/>
        <w:tabs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158"/>
        <w:tabs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158"/>
        <w:tabs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158"/>
        <w:tabs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158"/>
        <w:tabs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158"/>
        <w:tabs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158"/>
        <w:tabs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>
    <w:multiLevelType w:val="hybridMultilevel"/>
    <w:styleLink w:val="1296"/>
    <w:lvl w:ilvl="0">
      <w:start w:val="1"/>
      <w:numFmt w:val="decimal"/>
      <w:pStyle w:val="1296"/>
      <w:isLgl w:val="false"/>
      <w:suff w:val="tab"/>
      <w:lvlText w:val="%1)"/>
      <w:lvlJc w:val="left"/>
      <w:pPr>
        <w:ind w:left="425" w:firstLine="284"/>
        <w:tabs>
          <w:tab w:val="left" w:pos="709" w:leader="none"/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14"/>
        <w:tabs>
          <w:tab w:val="left" w:pos="709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101"/>
        <w:tabs>
          <w:tab w:val="left" w:pos="709" w:leader="none"/>
          <w:tab w:val="left" w:pos="1134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8"/>
        <w:tabs>
          <w:tab w:val="left" w:pos="709" w:leader="none"/>
          <w:tab w:val="left" w:pos="1134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50"/>
        <w:tabs>
          <w:tab w:val="left" w:pos="709" w:leader="none"/>
          <w:tab w:val="left" w:pos="1134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137"/>
        <w:tabs>
          <w:tab w:val="left" w:pos="709" w:leader="none"/>
          <w:tab w:val="left" w:pos="1134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74"/>
        <w:tabs>
          <w:tab w:val="left" w:pos="709" w:leader="none"/>
          <w:tab w:val="left" w:pos="1134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86"/>
        <w:tabs>
          <w:tab w:val="left" w:pos="709" w:leader="none"/>
          <w:tab w:val="left" w:pos="1134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173"/>
        <w:tabs>
          <w:tab w:val="left" w:pos="709" w:leader="none"/>
          <w:tab w:val="left" w:pos="1134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>
    <w:multiLevelType w:val="hybridMultilevel"/>
    <w:styleLink w:val="1341"/>
    <w:lvl w:ilvl="0">
      <w:start w:val="1"/>
      <w:numFmt w:val="decimal"/>
      <w:pStyle w:val="1341"/>
      <w:isLgl w:val="false"/>
      <w:suff w:val="tab"/>
      <w:lvlText w:val="%1)"/>
      <w:lvlJc w:val="left"/>
      <w:pPr>
        <w:ind w:left="371" w:firstLine="338"/>
        <w:tabs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2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%1.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338"/>
        <w:tabs>
          <w:tab w:val="left" w:pos="360" w:leader="none"/>
          <w:tab w:val="left" w:pos="1080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413"/>
        <w:tabs>
          <w:tab w:val="left" w:pos="360" w:leader="none"/>
          <w:tab w:val="left" w:pos="1080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38"/>
        <w:tabs>
          <w:tab w:val="left" w:pos="360" w:leader="none"/>
          <w:tab w:val="left" w:pos="1080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338"/>
        <w:tabs>
          <w:tab w:val="left" w:pos="360" w:leader="none"/>
          <w:tab w:val="left" w:pos="1080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413"/>
        <w:tabs>
          <w:tab w:val="left" w:pos="360" w:leader="none"/>
          <w:tab w:val="left" w:pos="1080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338"/>
        <w:tabs>
          <w:tab w:val="left" w:pos="360" w:leader="none"/>
          <w:tab w:val="left" w:pos="1080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338"/>
        <w:tabs>
          <w:tab w:val="left" w:pos="360" w:leader="none"/>
          <w:tab w:val="left" w:pos="1080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413"/>
        <w:tabs>
          <w:tab w:val="left" w:pos="360" w:leader="none"/>
          <w:tab w:val="left" w:pos="1080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>
    <w:multiLevelType w:val="hybridMultilevel"/>
    <w:lvl w:ilvl="0">
      <w:start w:val="1"/>
      <w:numFmt w:val="decimal"/>
      <w:pStyle w:val="1409"/>
      <w:isLgl w:val="false"/>
      <w:suff w:val="tab"/>
      <w:lvlText w:val="%1."/>
      <w:lvlJc w:val="left"/>
      <w:pPr>
        <w:ind w:left="1211" w:hanging="360"/>
        <w:tabs>
          <w:tab w:val="num" w:pos="1211" w:leader="none"/>
        </w:tabs>
      </w:pPr>
      <w:rPr>
        <w:rFonts w:hint="default" w:ascii="Times New Roman" w:hAnsi="Times New Roman" w:eastAsia="Times New Roman" w:cs="Times New Roman"/>
        <w:b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  <w:tabs>
          <w:tab w:val="num" w:pos="1353" w:leader="none"/>
        </w:tabs>
      </w:pPr>
      <w:rPr>
        <w:rFonts w:hint="default" w:cs="Times New Roman"/>
        <w:b w:val="0"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4">
    <w:multiLevelType w:val="hybridMultilevel"/>
    <w:styleLink w:val="1310"/>
    <w:lvl w:ilvl="0">
      <w:start w:val="1"/>
      <w:numFmt w:val="bullet"/>
      <w:pStyle w:val="1310"/>
      <w:isLgl w:val="false"/>
      <w:suff w:val="tab"/>
      <w:lvlText w:val="-"/>
      <w:lvlJc w:val="left"/>
      <w:pPr>
        <w:ind w:left="142" w:firstLine="567"/>
        <w:tabs>
          <w:tab w:val="left" w:pos="360" w:leader="none"/>
          <w:tab w:val="num" w:pos="851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360" w:leader="none"/>
          <w:tab w:val="num" w:pos="14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360" w:leader="none"/>
          <w:tab w:val="left" w:pos="851" w:leader="none"/>
          <w:tab w:val="left" w:pos="993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360" w:leader="none"/>
          <w:tab w:val="left" w:pos="851" w:leader="none"/>
          <w:tab w:val="left" w:pos="993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360" w:leader="none"/>
          <w:tab w:val="left" w:pos="851" w:leader="none"/>
          <w:tab w:val="left" w:pos="993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360" w:leader="none"/>
          <w:tab w:val="left" w:pos="851" w:leader="none"/>
          <w:tab w:val="left" w:pos="993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360" w:leader="none"/>
          <w:tab w:val="left" w:pos="851" w:leader="none"/>
          <w:tab w:val="left" w:pos="993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360" w:leader="none"/>
          <w:tab w:val="left" w:pos="851" w:leader="none"/>
          <w:tab w:val="left" w:pos="993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360" w:leader="none"/>
          <w:tab w:val="left" w:pos="851" w:leader="none"/>
          <w:tab w:val="left" w:pos="993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6">
    <w:multiLevelType w:val="hybridMultilevel"/>
    <w:styleLink w:val="1336"/>
    <w:lvl w:ilvl="0">
      <w:start w:val="1"/>
      <w:numFmt w:val="bullet"/>
      <w:pStyle w:val="1336"/>
      <w:isLgl w:val="false"/>
      <w:suff w:val="tab"/>
      <w:lvlText w:val="•"/>
      <w:lvlJc w:val="left"/>
      <w:pPr>
        <w:ind w:left="371" w:firstLine="338"/>
        <w:tabs>
          <w:tab w:val="left" w:pos="180" w:leader="none"/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180" w:leader="none"/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80" w:leader="none"/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80" w:leader="none"/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80" w:leader="none"/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80" w:leader="none"/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80" w:leader="none"/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80" w:leader="none"/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80" w:leader="none"/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styleLink w:val="1335"/>
    <w:lvl w:ilvl="0">
      <w:start w:val="1"/>
      <w:numFmt w:val="bullet"/>
      <w:pStyle w:val="1335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0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1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multiLevelType w:val="hybridMultilevel"/>
    <w:styleLink w:val="1311"/>
    <w:lvl w:ilvl="0">
      <w:start w:val="1"/>
      <w:numFmt w:val="bullet"/>
      <w:pStyle w:val="1311"/>
      <w:isLgl w:val="false"/>
      <w:suff w:val="tab"/>
      <w:lvlText w:val="-"/>
      <w:lvlJc w:val="left"/>
      <w:pPr>
        <w:ind w:left="400" w:firstLine="300"/>
        <w:tabs>
          <w:tab w:val="left" w:pos="363" w:leader="none"/>
          <w:tab w:val="num" w:pos="11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4"/>
        <w:tabs>
          <w:tab w:val="left" w:pos="363" w:leader="none"/>
          <w:tab w:val="num" w:pos="14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8"/>
        <w:tabs>
          <w:tab w:val="left" w:pos="363" w:leader="none"/>
          <w:tab w:val="left" w:pos="1100" w:leader="none"/>
          <w:tab w:val="num" w:pos="21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20"/>
        <w:tabs>
          <w:tab w:val="left" w:pos="363" w:leader="none"/>
          <w:tab w:val="left" w:pos="1100" w:leader="none"/>
          <w:tab w:val="num" w:pos="28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2"/>
        <w:tabs>
          <w:tab w:val="left" w:pos="363" w:leader="none"/>
          <w:tab w:val="left" w:pos="1100" w:leader="none"/>
          <w:tab w:val="num" w:pos="358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44"/>
        <w:tabs>
          <w:tab w:val="left" w:pos="363" w:leader="none"/>
          <w:tab w:val="left" w:pos="1100" w:leader="none"/>
          <w:tab w:val="num" w:pos="43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56"/>
        <w:tabs>
          <w:tab w:val="left" w:pos="363" w:leader="none"/>
          <w:tab w:val="left" w:pos="1100" w:leader="none"/>
          <w:tab w:val="num" w:pos="50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68"/>
        <w:tabs>
          <w:tab w:val="left" w:pos="363" w:leader="none"/>
          <w:tab w:val="left" w:pos="1100" w:leader="none"/>
          <w:tab w:val="num" w:pos="57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0"/>
        <w:tabs>
          <w:tab w:val="left" w:pos="363" w:leader="none"/>
          <w:tab w:val="left" w:pos="1100" w:leader="none"/>
          <w:tab w:val="num" w:pos="64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3">
    <w:multiLevelType w:val="hybridMultilevel"/>
    <w:styleLink w:val="1342"/>
    <w:lvl w:ilvl="0">
      <w:start w:val="1"/>
      <w:numFmt w:val="decimal"/>
      <w:pStyle w:val="1342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>
    <w:multiLevelType w:val="hybridMultilevel"/>
    <w:styleLink w:val="1297"/>
    <w:lvl w:ilvl="0">
      <w:start w:val="1"/>
      <w:numFmt w:val="decimal"/>
      <w:pStyle w:val="1297"/>
      <w:isLgl w:val="false"/>
      <w:suff w:val="tab"/>
      <w:lvlText w:val="%1."/>
      <w:lvlJc w:val="left"/>
      <w:pPr>
        <w:ind w:left="432" w:firstLine="277"/>
        <w:tabs>
          <w:tab w:val="num" w:pos="11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07" w:firstLine="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200" w:firstLine="134"/>
        <w:tabs>
          <w:tab w:val="num" w:pos="19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40" w:firstLine="266"/>
        <w:tabs>
          <w:tab w:val="num" w:pos="2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3240" w:firstLine="398"/>
        <w:tabs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4080" w:firstLine="530"/>
        <w:tabs>
          <w:tab w:val="num" w:pos="4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5280" w:firstLine="338"/>
        <w:tabs>
          <w:tab w:val="num" w:pos="59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6120" w:firstLine="338"/>
        <w:tabs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20" w:hanging="22"/>
        <w:tabs>
          <w:tab w:val="num" w:pos="8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5">
    <w:multiLevelType w:val="hybridMultilevel"/>
    <w:styleLink w:val="1327"/>
    <w:lvl w:ilvl="0">
      <w:start w:val="1"/>
      <w:numFmt w:val="bullet"/>
      <w:pStyle w:val="1327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>
    <w:multiLevelType w:val="hybridMultilevel"/>
    <w:styleLink w:val="1291"/>
    <w:lvl w:ilvl="0">
      <w:start w:val="1"/>
      <w:numFmt w:val="bullet"/>
      <w:pStyle w:val="1291"/>
      <w:isLgl w:val="false"/>
      <w:suff w:val="tab"/>
      <w:lvlText w:val="•"/>
      <w:lvlJc w:val="left"/>
      <w:pPr>
        <w:ind w:left="142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8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4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styleLink w:val="1294"/>
    <w:lvl w:ilvl="0">
      <w:start w:val="1"/>
      <w:numFmt w:val="decimal"/>
      <w:pStyle w:val="1294"/>
      <w:isLgl w:val="false"/>
      <w:suff w:val="tab"/>
      <w:lvlText w:val="%1."/>
      <w:lvlJc w:val="left"/>
      <w:pPr>
        <w:ind w:left="792" w:hanging="83"/>
        <w:tabs>
          <w:tab w:val="num" w:pos="150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634" w:hanging="83"/>
        <w:tabs>
          <w:tab w:val="left" w:pos="1560" w:leader="none"/>
          <w:tab w:val="num" w:pos="23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3.%4."/>
      <w:lvlJc w:val="left"/>
      <w:pPr>
        <w:ind w:left="842" w:firstLine="136"/>
        <w:tabs>
          <w:tab w:val="num" w:pos="155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3.%4.%5."/>
      <w:lvlJc w:val="left"/>
      <w:pPr>
        <w:ind w:left="2044" w:firstLine="270"/>
        <w:tabs>
          <w:tab w:val="left" w:pos="1560" w:leader="none"/>
          <w:tab w:val="num" w:pos="275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3.%4.%5.%6."/>
      <w:lvlJc w:val="left"/>
      <w:pPr>
        <w:ind w:left="2886" w:firstLine="404"/>
        <w:tabs>
          <w:tab w:val="left" w:pos="1560" w:leader="none"/>
          <w:tab w:val="num" w:pos="359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3.%4.%5.%6.%7."/>
      <w:lvlJc w:val="left"/>
      <w:pPr>
        <w:ind w:left="4088" w:firstLine="538"/>
        <w:tabs>
          <w:tab w:val="left" w:pos="1560" w:leader="none"/>
          <w:tab w:val="num" w:pos="47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3.%4.%5.%6.%7.%8."/>
      <w:lvlJc w:val="left"/>
      <w:pPr>
        <w:ind w:left="4930" w:hanging="36"/>
        <w:tabs>
          <w:tab w:val="left" w:pos="1560" w:leader="none"/>
          <w:tab w:val="num" w:pos="56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3.%4.%5.%6.%7.%8.%9."/>
      <w:lvlJc w:val="left"/>
      <w:pPr>
        <w:ind w:left="6132" w:firstLine="338"/>
        <w:tabs>
          <w:tab w:val="left" w:pos="1560" w:leader="none"/>
          <w:tab w:val="num" w:pos="68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styleLink w:val="1348"/>
    <w:lvl w:ilvl="0">
      <w:start w:val="1"/>
      <w:numFmt w:val="decimal"/>
      <w:pStyle w:val="1348"/>
      <w:isLgl w:val="false"/>
      <w:suff w:val="tab"/>
      <w:lvlText w:val="%1."/>
      <w:lvlJc w:val="left"/>
      <w:pPr>
        <w:ind w:left="425" w:firstLine="284"/>
        <w:tabs>
          <w:tab w:val="left" w:pos="360" w:leader="none"/>
          <w:tab w:val="num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810" w:firstLine="540"/>
        <w:tabs>
          <w:tab w:val="left" w:pos="360" w:leader="none"/>
          <w:tab w:val="left" w:pos="1134" w:leader="none"/>
          <w:tab w:val="left" w:pos="1418" w:leader="none"/>
          <w:tab w:val="num" w:pos="151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0" w:firstLine="374"/>
        <w:tabs>
          <w:tab w:val="left" w:pos="360" w:leader="none"/>
          <w:tab w:val="left" w:pos="1134" w:leader="none"/>
          <w:tab w:val="left" w:pos="1418" w:leader="none"/>
          <w:tab w:val="num" w:pos="20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50" w:firstLine="206"/>
        <w:tabs>
          <w:tab w:val="left" w:pos="360" w:leader="none"/>
          <w:tab w:val="left" w:pos="1134" w:leader="none"/>
          <w:tab w:val="left" w:pos="1418" w:leader="none"/>
          <w:tab w:val="num" w:pos="29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0" w:firstLine="38"/>
        <w:tabs>
          <w:tab w:val="left" w:pos="360" w:leader="none"/>
          <w:tab w:val="left" w:pos="1134" w:leader="none"/>
          <w:tab w:val="left" w:pos="1418" w:leader="none"/>
          <w:tab w:val="num" w:pos="34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firstLine="428"/>
        <w:tabs>
          <w:tab w:val="left" w:pos="360" w:leader="none"/>
          <w:tab w:val="left" w:pos="1134" w:leader="none"/>
          <w:tab w:val="left" w:pos="1418" w:leader="none"/>
          <w:tab w:val="num" w:pos="43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90" w:firstLine="68"/>
        <w:tabs>
          <w:tab w:val="left" w:pos="360" w:leader="none"/>
          <w:tab w:val="left" w:pos="1134" w:leader="none"/>
          <w:tab w:val="left" w:pos="1418" w:leader="none"/>
          <w:tab w:val="num" w:pos="52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30" w:firstLine="68"/>
        <w:tabs>
          <w:tab w:val="left" w:pos="360" w:leader="none"/>
          <w:tab w:val="left" w:pos="1134" w:leader="none"/>
          <w:tab w:val="left" w:pos="1418" w:leader="none"/>
          <w:tab w:val="num" w:pos="583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30" w:hanging="292"/>
        <w:tabs>
          <w:tab w:val="left" w:pos="360" w:leader="none"/>
          <w:tab w:val="left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43">
    <w:multiLevelType w:val="hybridMultilevel"/>
    <w:styleLink w:val="1298"/>
    <w:lvl w:ilvl="0">
      <w:start w:val="1"/>
      <w:numFmt w:val="bullet"/>
      <w:pStyle w:val="1298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>
    <w:multiLevelType w:val="hybridMultilevel"/>
    <w:styleLink w:val="1352"/>
    <w:lvl w:ilvl="0">
      <w:start w:val="1"/>
      <w:numFmt w:val="decimal"/>
      <w:pStyle w:val="1352"/>
      <w:isLgl w:val="false"/>
      <w:suff w:val="tab"/>
      <w:lvlText w:val="%1."/>
      <w:lvlJc w:val="left"/>
      <w:pPr>
        <w:ind w:left="878" w:hanging="168"/>
        <w:tabs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67" w:firstLine="142"/>
        <w:tabs>
          <w:tab w:val="num" w:pos="1276" w:leader="none"/>
          <w:tab w:val="left" w:pos="1418" w:leader="none"/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09" w:firstLine="0"/>
        <w:tabs>
          <w:tab w:val="num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1" w:hanging="22"/>
        <w:tabs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>
    <w:multiLevelType w:val="hybridMultilevel"/>
    <w:styleLink w:val="1293"/>
    <w:lvl w:ilvl="0">
      <w:start w:val="1"/>
      <w:numFmt w:val="decimal"/>
      <w:pStyle w:val="1293"/>
      <w:isLgl w:val="false"/>
      <w:suff w:val="tab"/>
      <w:lvlText w:val="%1."/>
      <w:lvlJc w:val="left"/>
      <w:pPr>
        <w:ind w:left="432" w:firstLine="277"/>
        <w:tabs>
          <w:tab w:val="num" w:pos="1141" w:leader="none"/>
          <w:tab w:val="left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069" w:firstLine="3"/>
        <w:tabs>
          <w:tab w:val="num" w:pos="177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778" w:firstLine="4"/>
        <w:tabs>
          <w:tab w:val="left" w:pos="1260" w:leader="none"/>
          <w:tab w:val="left" w:pos="1440" w:leader="none"/>
          <w:tab w:val="num" w:pos="24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847" w:firstLine="5"/>
        <w:tabs>
          <w:tab w:val="left" w:pos="1260" w:leader="none"/>
          <w:tab w:val="left" w:pos="1440" w:leader="none"/>
          <w:tab w:val="num" w:pos="355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556" w:firstLine="6"/>
        <w:tabs>
          <w:tab w:val="left" w:pos="1260" w:leader="none"/>
          <w:tab w:val="left" w:pos="1440" w:leader="none"/>
          <w:tab w:val="num" w:pos="42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625" w:firstLine="338"/>
        <w:tabs>
          <w:tab w:val="left" w:pos="1260" w:leader="none"/>
          <w:tab w:val="left" w:pos="1440" w:leader="none"/>
          <w:tab w:val="num" w:pos="53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334" w:firstLine="338"/>
        <w:tabs>
          <w:tab w:val="left" w:pos="1260" w:leader="none"/>
          <w:tab w:val="left" w:pos="1440" w:leader="none"/>
          <w:tab w:val="num" w:pos="60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403" w:hanging="22"/>
        <w:tabs>
          <w:tab w:val="left" w:pos="1260" w:leader="none"/>
          <w:tab w:val="left" w:pos="1440" w:leader="none"/>
          <w:tab w:val="num" w:pos="711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6">
    <w:multiLevelType w:val="hybridMultilevel"/>
    <w:styleLink w:val="1340"/>
    <w:lvl w:ilvl="0">
      <w:start w:val="1"/>
      <w:numFmt w:val="bullet"/>
      <w:pStyle w:val="1340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•"/>
      <w:lvlJc w:val="left"/>
      <w:pPr>
        <w:ind w:left="1091" w:firstLine="338"/>
        <w:tabs>
          <w:tab w:val="left" w:pos="284" w:leader="none"/>
          <w:tab w:val="left" w:pos="1080" w:leader="none"/>
          <w:tab w:val="num" w:pos="18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•"/>
      <w:lvlJc w:val="left"/>
      <w:pPr>
        <w:ind w:left="1811" w:firstLine="338"/>
        <w:tabs>
          <w:tab w:val="left" w:pos="284" w:leader="none"/>
          <w:tab w:val="left" w:pos="1080" w:leader="none"/>
          <w:tab w:val="num" w:pos="25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531" w:firstLine="338"/>
        <w:tabs>
          <w:tab w:val="left" w:pos="284" w:leader="none"/>
          <w:tab w:val="left" w:pos="1080" w:leader="none"/>
          <w:tab w:val="num" w:pos="32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•"/>
      <w:lvlJc w:val="left"/>
      <w:pPr>
        <w:ind w:left="3251" w:firstLine="338"/>
        <w:tabs>
          <w:tab w:val="left" w:pos="284" w:leader="none"/>
          <w:tab w:val="left" w:pos="1080" w:leader="none"/>
          <w:tab w:val="num" w:pos="396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•"/>
      <w:lvlJc w:val="left"/>
      <w:pPr>
        <w:ind w:left="3971" w:firstLine="338"/>
        <w:tabs>
          <w:tab w:val="left" w:pos="284" w:leader="none"/>
          <w:tab w:val="left" w:pos="1080" w:leader="none"/>
          <w:tab w:val="num" w:pos="46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691" w:firstLine="338"/>
        <w:tabs>
          <w:tab w:val="left" w:pos="284" w:leader="none"/>
          <w:tab w:val="left" w:pos="1080" w:leader="none"/>
          <w:tab w:val="num" w:pos="54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•"/>
      <w:lvlJc w:val="left"/>
      <w:pPr>
        <w:ind w:left="5411" w:firstLine="338"/>
        <w:tabs>
          <w:tab w:val="left" w:pos="284" w:leader="none"/>
          <w:tab w:val="left" w:pos="1080" w:leader="none"/>
          <w:tab w:val="num" w:pos="61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•"/>
      <w:lvlJc w:val="left"/>
      <w:pPr>
        <w:ind w:left="6131" w:firstLine="338"/>
        <w:tabs>
          <w:tab w:val="left" w:pos="284" w:leader="none"/>
          <w:tab w:val="left" w:pos="1080" w:leader="none"/>
          <w:tab w:val="num" w:pos="68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pStyle w:val="1508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50">
    <w:multiLevelType w:val="hybridMultilevel"/>
    <w:styleLink w:val="1339"/>
    <w:lvl w:ilvl="0">
      <w:start w:val="1"/>
      <w:numFmt w:val="decimal"/>
      <w:pStyle w:val="1339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pStyle w:val="1586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580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582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583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584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585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3">
    <w:multiLevelType w:val="hybridMultilevel"/>
    <w:styleLink w:val="1282"/>
    <w:lvl w:ilvl="0">
      <w:start w:val="1"/>
      <w:numFmt w:val="bullet"/>
      <w:pStyle w:val="1282"/>
      <w:isLgl w:val="false"/>
      <w:suff w:val="tab"/>
      <w:lvlText w:val="•"/>
      <w:lvlJc w:val="left"/>
      <w:pPr>
        <w:ind w:left="143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5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9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1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3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5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9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styleLink w:val="1354"/>
    <w:lvl w:ilvl="0">
      <w:start w:val="1"/>
      <w:numFmt w:val="bullet"/>
      <w:pStyle w:val="1354"/>
      <w:isLgl w:val="false"/>
      <w:suff w:val="tab"/>
      <w:lvlText w:val="−"/>
      <w:lvlJc w:val="left"/>
      <w:pPr>
        <w:ind w:left="2343" w:firstLine="241"/>
        <w:tabs>
          <w:tab w:val="left" w:pos="360" w:leader="none"/>
          <w:tab w:val="left" w:pos="993" w:leader="none"/>
          <w:tab w:val="left" w:pos="2235" w:leader="none"/>
          <w:tab w:val="num" w:pos="3052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84" w:firstLine="425"/>
        <w:tabs>
          <w:tab w:val="left" w:pos="360" w:leader="none"/>
          <w:tab w:val="num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6">
    <w:multiLevelType w:val="hybridMultilevel"/>
    <w:styleLink w:val="1353"/>
    <w:lvl w:ilvl="0">
      <w:start w:val="1"/>
      <w:numFmt w:val="bullet"/>
      <w:pStyle w:val="1353"/>
      <w:isLgl w:val="false"/>
      <w:suff w:val="tab"/>
      <w:lvlText w:val="-"/>
      <w:lvlJc w:val="left"/>
      <w:pPr>
        <w:ind w:left="284" w:firstLine="425"/>
        <w:tabs>
          <w:tab w:val="left" w:pos="502" w:leader="none"/>
          <w:tab w:val="left" w:pos="720" w:leader="none"/>
          <w:tab w:val="num" w:pos="993" w:leader="none"/>
          <w:tab w:val="left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31" w:hanging="22"/>
        <w:tabs>
          <w:tab w:val="left" w:pos="502" w:leader="none"/>
          <w:tab w:val="left" w:pos="720" w:leader="none"/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59">
    <w:multiLevelType w:val="hybridMultilevel"/>
    <w:styleLink w:val="1320"/>
    <w:lvl w:ilvl="0">
      <w:start w:val="1"/>
      <w:numFmt w:val="bullet"/>
      <w:pStyle w:val="1320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0">
    <w:multiLevelType w:val="hybridMultilevel"/>
    <w:styleLink w:val="1331"/>
    <w:lvl w:ilvl="0">
      <w:start w:val="1"/>
      <w:numFmt w:val="bullet"/>
      <w:pStyle w:val="1331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45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1">
    <w:multiLevelType w:val="hybridMultilevel"/>
    <w:lvl w:ilvl="0">
      <w:start w:val="1"/>
      <w:numFmt w:val="decimal"/>
      <w:pStyle w:val="1611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1612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614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62">
    <w:multiLevelType w:val="hybridMultilevel"/>
    <w:styleLink w:val="1285"/>
    <w:lvl w:ilvl="0">
      <w:start w:val="1"/>
      <w:numFmt w:val="bullet"/>
      <w:pStyle w:val="1285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3">
    <w:multiLevelType w:val="hybridMultilevel"/>
    <w:styleLink w:val="1344"/>
    <w:lvl w:ilvl="0">
      <w:start w:val="1"/>
      <w:numFmt w:val="decimal"/>
      <w:pStyle w:val="1344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4">
    <w:multiLevelType w:val="hybridMultilevel"/>
    <w:styleLink w:val="1343"/>
    <w:lvl w:ilvl="0">
      <w:start w:val="1"/>
      <w:numFmt w:val="decimal"/>
      <w:pStyle w:val="1343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5">
    <w:multiLevelType w:val="hybridMultilevel"/>
    <w:styleLink w:val="1295"/>
    <w:lvl w:ilvl="0">
      <w:start w:val="1"/>
      <w:numFmt w:val="bullet"/>
      <w:pStyle w:val="1295"/>
      <w:isLgl w:val="false"/>
      <w:suff w:val="tab"/>
      <w:lvlText w:val="−"/>
      <w:lvlJc w:val="left"/>
      <w:pPr>
        <w:ind w:left="1152" w:firstLine="277"/>
        <w:tabs>
          <w:tab w:val="left" w:pos="1080" w:leader="none"/>
          <w:tab w:val="num" w:pos="186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6">
    <w:multiLevelType w:val="hybridMultilevel"/>
    <w:numStyleLink w:val="133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8">
    <w:multiLevelType w:val="hybridMultilevel"/>
    <w:styleLink w:val="1358"/>
    <w:lvl w:ilvl="0">
      <w:start w:val="1"/>
      <w:numFmt w:val="decimal"/>
      <w:pStyle w:val="1358"/>
      <w:isLgl w:val="false"/>
      <w:suff w:val="tab"/>
      <w:lvlText w:val="%1."/>
      <w:lvlJc w:val="left"/>
      <w:pPr>
        <w:ind w:left="432" w:firstLine="270"/>
        <w:tabs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14" w:hanging="1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71" w:firstLine="399"/>
        <w:tabs>
          <w:tab w:val="num" w:pos="147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3" w:firstLine="393"/>
        <w:tabs>
          <w:tab w:val="num" w:pos="217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535" w:firstLine="387"/>
        <w:tabs>
          <w:tab w:val="num" w:pos="323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237" w:firstLine="381"/>
        <w:tabs>
          <w:tab w:val="num" w:pos="39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299" w:firstLine="324"/>
        <w:tabs>
          <w:tab w:val="num" w:pos="500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001" w:firstLine="324"/>
        <w:tabs>
          <w:tab w:val="num" w:pos="570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063" w:hanging="36"/>
        <w:tabs>
          <w:tab w:val="num" w:pos="67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9">
    <w:multiLevelType w:val="hybridMultilevel"/>
    <w:styleLink w:val="1321"/>
    <w:lvl w:ilvl="0">
      <w:start w:val="1"/>
      <w:numFmt w:val="bullet"/>
      <w:pStyle w:val="1321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pStyle w:val="1507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71">
    <w:multiLevelType w:val="hybridMultilevel"/>
    <w:styleLink w:val="1306"/>
    <w:lvl w:ilvl="0">
      <w:start w:val="1"/>
      <w:numFmt w:val="bullet"/>
      <w:pStyle w:val="1306"/>
      <w:isLgl w:val="false"/>
      <w:suff w:val="tab"/>
      <w:lvlText w:val="–"/>
      <w:lvlJc w:val="left"/>
      <w:pPr>
        <w:ind w:left="284" w:firstLine="425"/>
        <w:tabs>
          <w:tab w:val="num" w:pos="993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993" w:leader="none"/>
          <w:tab w:val="num" w:pos="21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993" w:leader="none"/>
          <w:tab w:val="num" w:pos="28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993" w:leader="none"/>
          <w:tab w:val="num" w:pos="358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993" w:leader="none"/>
          <w:tab w:val="num" w:pos="430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993" w:leader="none"/>
          <w:tab w:val="num" w:pos="50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993" w:leader="none"/>
          <w:tab w:val="num" w:pos="57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993" w:leader="none"/>
          <w:tab w:val="num" w:pos="64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2">
    <w:multiLevelType w:val="hybridMultilevel"/>
    <w:styleLink w:val="1304"/>
    <w:lvl w:ilvl="0">
      <w:start w:val="1"/>
      <w:numFmt w:val="bullet"/>
      <w:pStyle w:val="1304"/>
      <w:isLgl w:val="false"/>
      <w:suff w:val="tab"/>
      <w:lvlText w:val="–"/>
      <w:lvlJc w:val="left"/>
      <w:pPr>
        <w:ind w:left="1296" w:hanging="587"/>
        <w:tabs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–"/>
      <w:lvlJc w:val="left"/>
      <w:pPr>
        <w:ind w:left="201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–"/>
      <w:lvlJc w:val="left"/>
      <w:pPr>
        <w:ind w:left="273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–"/>
      <w:lvlJc w:val="left"/>
      <w:pPr>
        <w:ind w:left="3456" w:hanging="587"/>
        <w:tabs>
          <w:tab w:val="left" w:pos="99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10"/>
  </w:num>
  <w:num w:numId="2">
    <w:abstractNumId w:val="53"/>
  </w:num>
  <w:num w:numId="3">
    <w:abstractNumId w:val="12"/>
  </w:num>
  <w:num w:numId="4">
    <w:abstractNumId w:val="62"/>
  </w:num>
  <w:num w:numId="5">
    <w:abstractNumId w:val="36"/>
  </w:num>
  <w:num w:numId="6">
    <w:abstractNumId w:val="45"/>
  </w:num>
  <w:num w:numId="7">
    <w:abstractNumId w:val="38"/>
  </w:num>
  <w:num w:numId="8">
    <w:abstractNumId w:val="65"/>
  </w:num>
  <w:num w:numId="9">
    <w:abstractNumId w:val="20"/>
  </w:num>
  <w:num w:numId="10">
    <w:abstractNumId w:val="34"/>
  </w:num>
  <w:num w:numId="11">
    <w:abstractNumId w:val="43"/>
  </w:num>
  <w:num w:numId="12">
    <w:abstractNumId w:val="1"/>
  </w:num>
  <w:num w:numId="13">
    <w:abstractNumId w:val="9"/>
  </w:num>
  <w:num w:numId="14">
    <w:abstractNumId w:val="72"/>
  </w:num>
  <w:num w:numId="15">
    <w:abstractNumId w:val="71"/>
  </w:num>
  <w:num w:numId="16">
    <w:abstractNumId w:val="24"/>
  </w:num>
  <w:num w:numId="17">
    <w:abstractNumId w:val="32"/>
  </w:num>
  <w:num w:numId="18">
    <w:abstractNumId w:val="6"/>
  </w:num>
  <w:num w:numId="19">
    <w:abstractNumId w:val="7"/>
  </w:num>
  <w:num w:numId="20">
    <w:abstractNumId w:val="59"/>
  </w:num>
  <w:num w:numId="21">
    <w:abstractNumId w:val="69"/>
  </w:num>
  <w:num w:numId="22">
    <w:abstractNumId w:val="15"/>
  </w:num>
  <w:num w:numId="23">
    <w:abstractNumId w:val="35"/>
  </w:num>
  <w:num w:numId="24">
    <w:abstractNumId w:val="60"/>
  </w:num>
  <w:num w:numId="25">
    <w:abstractNumId w:val="22"/>
  </w:num>
  <w:num w:numId="26">
    <w:abstractNumId w:val="19"/>
  </w:num>
  <w:num w:numId="27">
    <w:abstractNumId w:val="29"/>
  </w:num>
  <w:num w:numId="28">
    <w:abstractNumId w:val="26"/>
  </w:num>
  <w:num w:numId="29">
    <w:abstractNumId w:val="50"/>
  </w:num>
  <w:num w:numId="30">
    <w:abstractNumId w:val="46"/>
  </w:num>
  <w:num w:numId="31">
    <w:abstractNumId w:val="21"/>
  </w:num>
  <w:num w:numId="32">
    <w:abstractNumId w:val="33"/>
  </w:num>
  <w:num w:numId="33">
    <w:abstractNumId w:val="64"/>
  </w:num>
  <w:num w:numId="34">
    <w:abstractNumId w:val="63"/>
  </w:num>
  <w:num w:numId="35">
    <w:abstractNumId w:val="41"/>
  </w:num>
  <w:num w:numId="36">
    <w:abstractNumId w:val="11"/>
  </w:num>
  <w:num w:numId="37">
    <w:abstractNumId w:val="44"/>
  </w:num>
  <w:num w:numId="38">
    <w:abstractNumId w:val="56"/>
  </w:num>
  <w:num w:numId="39">
    <w:abstractNumId w:val="55"/>
  </w:num>
  <w:num w:numId="40">
    <w:abstractNumId w:val="18"/>
  </w:num>
  <w:num w:numId="41">
    <w:abstractNumId w:val="0"/>
  </w:num>
  <w:num w:numId="42">
    <w:abstractNumId w:val="68"/>
  </w:num>
  <w:num w:numId="43">
    <w:abstractNumId w:val="23"/>
  </w:num>
  <w:num w:numId="44">
    <w:abstractNumId w:val="4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70"/>
  </w:num>
  <w:num w:numId="47">
    <w:abstractNumId w:val="52"/>
  </w:num>
  <w:num w:numId="48">
    <w:abstractNumId w:val="39"/>
  </w:num>
  <w:num w:numId="49">
    <w:abstractNumId w:val="3"/>
  </w:num>
  <w:num w:numId="50">
    <w:abstractNumId w:val="37"/>
  </w:num>
  <w:num w:numId="51">
    <w:abstractNumId w:val="17"/>
  </w:num>
  <w:num w:numId="52">
    <w:abstractNumId w:val="31"/>
  </w:num>
  <w:num w:numId="5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4"/>
  </w:num>
  <w:num w:numId="56">
    <w:abstractNumId w:val="27"/>
  </w:num>
  <w:num w:numId="57">
    <w:abstractNumId w:val="40"/>
  </w:num>
  <w:num w:numId="58">
    <w:abstractNumId w:val="5"/>
  </w:num>
  <w:num w:numId="59">
    <w:abstractNumId w:val="51"/>
  </w:num>
  <w:num w:numId="60">
    <w:abstractNumId w:val="57"/>
  </w:num>
  <w:num w:numId="61">
    <w:abstractNumId w:val="13"/>
  </w:num>
  <w:num w:numId="62">
    <w:abstractNumId w:val="48"/>
  </w:num>
  <w:num w:numId="63">
    <w:abstractNumId w:val="28"/>
  </w:num>
  <w:num w:numId="64">
    <w:abstractNumId w:val="49"/>
  </w:num>
  <w:num w:numId="65">
    <w:abstractNumId w:val="67"/>
  </w:num>
  <w:num w:numId="66">
    <w:abstractNumId w:val="25"/>
  </w:num>
  <w:num w:numId="67">
    <w:abstractNumId w:val="42"/>
  </w:num>
  <w:num w:numId="68">
    <w:abstractNumId w:val="30"/>
  </w:num>
  <w:num w:numId="6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"/>
  </w:num>
  <w:num w:numId="72">
    <w:abstractNumId w:val="14"/>
  </w:num>
  <w:num w:numId="73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7">
    <w:name w:val="Subtitle Char"/>
    <w:basedOn w:val="1114"/>
    <w:link w:val="1125"/>
    <w:uiPriority w:val="11"/>
    <w:rPr>
      <w:sz w:val="24"/>
      <w:szCs w:val="24"/>
    </w:rPr>
  </w:style>
  <w:style w:type="character" w:styleId="39">
    <w:name w:val="Quote Char"/>
    <w:link w:val="1127"/>
    <w:uiPriority w:val="29"/>
    <w:rPr>
      <w:i/>
    </w:rPr>
  </w:style>
  <w:style w:type="character" w:styleId="41">
    <w:name w:val="Intense Quote Char"/>
    <w:link w:val="1129"/>
    <w:uiPriority w:val="30"/>
    <w:rPr>
      <w:i/>
    </w:rPr>
  </w:style>
  <w:style w:type="paragraph" w:styleId="1104" w:default="1">
    <w:name w:val="Normal"/>
    <w:qFormat/>
    <w:pPr>
      <w:spacing w:after="200" w:line="276" w:lineRule="auto"/>
    </w:pPr>
  </w:style>
  <w:style w:type="paragraph" w:styleId="1105">
    <w:name w:val="Heading 1"/>
    <w:next w:val="1104"/>
    <w:link w:val="1261"/>
    <w:uiPriority w:val="9"/>
    <w:qFormat/>
    <w:pPr>
      <w:spacing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paragraph" w:styleId="1106">
    <w:name w:val="Heading 2"/>
    <w:next w:val="1104"/>
    <w:link w:val="1262"/>
    <w:qFormat/>
    <w:pPr>
      <w:keepNext/>
      <w:spacing w:before="24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paragraph" w:styleId="1107">
    <w:name w:val="Heading 3"/>
    <w:basedOn w:val="1104"/>
    <w:next w:val="1104"/>
    <w:link w:val="1263"/>
    <w:uiPriority w:val="9"/>
    <w:qFormat/>
    <w:pPr>
      <w:ind w:left="1134" w:hanging="1134"/>
      <w:keepNext/>
      <w:spacing w:before="120" w:after="120" w:line="240" w:lineRule="auto"/>
      <w:tabs>
        <w:tab w:val="num" w:pos="1134" w:leader="none"/>
      </w:tabs>
      <w:outlineLvl w:val="2"/>
    </w:pPr>
    <w:rPr>
      <w:rFonts w:ascii="Times New Roman" w:hAnsi="Times New Roman" w:eastAsia="Calibri" w:cs="Times New Roman"/>
      <w:b/>
      <w:bCs/>
      <w:sz w:val="28"/>
      <w:szCs w:val="28"/>
    </w:rPr>
  </w:style>
  <w:style w:type="paragraph" w:styleId="1108">
    <w:name w:val="Heading 4"/>
    <w:next w:val="1104"/>
    <w:link w:val="1264"/>
    <w:qFormat/>
    <w:pPr>
      <w:ind w:left="567" w:hanging="567"/>
      <w:jc w:val="both"/>
      <w:keepNext/>
      <w:spacing w:before="240" w:after="120" w:line="240" w:lineRule="auto"/>
      <w:tabs>
        <w:tab w:val="left" w:pos="1134" w:leader="none"/>
        <w:tab w:val="left" w:pos="170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1109">
    <w:name w:val="Heading 5"/>
    <w:basedOn w:val="1104"/>
    <w:next w:val="1104"/>
    <w:link w:val="1265"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1110">
    <w:name w:val="Heading 6"/>
    <w:basedOn w:val="1104"/>
    <w:next w:val="1104"/>
    <w:link w:val="1266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1111">
    <w:name w:val="Heading 7"/>
    <w:basedOn w:val="1104"/>
    <w:next w:val="1104"/>
    <w:link w:val="1267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6"/>
    </w:pPr>
    <w:rPr>
      <w:rFonts w:ascii="Times New Roman" w:hAnsi="Times New Roman" w:eastAsia="Calibri" w:cs="Times New Roman"/>
      <w:sz w:val="26"/>
      <w:szCs w:val="26"/>
    </w:rPr>
  </w:style>
  <w:style w:type="paragraph" w:styleId="1112">
    <w:name w:val="Heading 8"/>
    <w:basedOn w:val="1104"/>
    <w:next w:val="1104"/>
    <w:link w:val="1268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7"/>
    </w:pPr>
    <w:rPr>
      <w:rFonts w:ascii="Times New Roman" w:hAnsi="Times New Roman" w:eastAsia="Times New Roman" w:cs="Times New Roman"/>
      <w:i/>
      <w:iCs/>
      <w:sz w:val="26"/>
      <w:szCs w:val="26"/>
    </w:rPr>
  </w:style>
  <w:style w:type="paragraph" w:styleId="1113">
    <w:name w:val="Heading 9"/>
    <w:basedOn w:val="1104"/>
    <w:next w:val="1104"/>
    <w:link w:val="1269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8"/>
    </w:pPr>
    <w:rPr>
      <w:rFonts w:ascii="Arial" w:hAnsi="Arial" w:eastAsia="Times New Roman" w:cs="Times New Roman"/>
    </w:rPr>
  </w:style>
  <w:style w:type="character" w:styleId="1114" w:default="1">
    <w:name w:val="Default Paragraph Font"/>
    <w:uiPriority w:val="1"/>
    <w:semiHidden/>
    <w:unhideWhenUsed/>
  </w:style>
  <w:style w:type="table" w:styleId="11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6" w:default="1">
    <w:name w:val="No List"/>
    <w:uiPriority w:val="99"/>
    <w:semiHidden/>
    <w:unhideWhenUsed/>
  </w:style>
  <w:style w:type="character" w:styleId="1117" w:customStyle="1">
    <w:name w:val="Heading 2 Char"/>
    <w:basedOn w:val="1114"/>
    <w:uiPriority w:val="9"/>
    <w:rPr>
      <w:rFonts w:ascii="Arial" w:hAnsi="Arial" w:eastAsia="Arial" w:cs="Arial"/>
      <w:sz w:val="34"/>
    </w:rPr>
  </w:style>
  <w:style w:type="character" w:styleId="1118" w:customStyle="1">
    <w:name w:val="Heading 3 Char"/>
    <w:basedOn w:val="1114"/>
    <w:uiPriority w:val="9"/>
    <w:rPr>
      <w:rFonts w:ascii="Arial" w:hAnsi="Arial" w:eastAsia="Arial" w:cs="Arial"/>
      <w:sz w:val="30"/>
      <w:szCs w:val="30"/>
    </w:rPr>
  </w:style>
  <w:style w:type="character" w:styleId="1119" w:customStyle="1">
    <w:name w:val="Heading 4 Char"/>
    <w:basedOn w:val="1114"/>
    <w:uiPriority w:val="9"/>
    <w:rPr>
      <w:rFonts w:ascii="Arial" w:hAnsi="Arial" w:eastAsia="Arial" w:cs="Arial"/>
      <w:b/>
      <w:bCs/>
      <w:sz w:val="26"/>
      <w:szCs w:val="26"/>
    </w:rPr>
  </w:style>
  <w:style w:type="character" w:styleId="1120" w:customStyle="1">
    <w:name w:val="Heading 5 Char"/>
    <w:basedOn w:val="1114"/>
    <w:uiPriority w:val="9"/>
    <w:rPr>
      <w:rFonts w:ascii="Arial" w:hAnsi="Arial" w:eastAsia="Arial" w:cs="Arial"/>
      <w:b/>
      <w:bCs/>
      <w:sz w:val="24"/>
      <w:szCs w:val="24"/>
    </w:rPr>
  </w:style>
  <w:style w:type="character" w:styleId="1121" w:customStyle="1">
    <w:name w:val="Heading 6 Char"/>
    <w:basedOn w:val="1114"/>
    <w:uiPriority w:val="9"/>
    <w:rPr>
      <w:rFonts w:ascii="Arial" w:hAnsi="Arial" w:eastAsia="Arial" w:cs="Arial"/>
      <w:b/>
      <w:bCs/>
      <w:sz w:val="22"/>
      <w:szCs w:val="22"/>
    </w:rPr>
  </w:style>
  <w:style w:type="character" w:styleId="1122" w:customStyle="1">
    <w:name w:val="Heading 7 Char"/>
    <w:basedOn w:val="11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23" w:customStyle="1">
    <w:name w:val="Heading 8 Char"/>
    <w:basedOn w:val="1114"/>
    <w:uiPriority w:val="9"/>
    <w:rPr>
      <w:rFonts w:ascii="Arial" w:hAnsi="Arial" w:eastAsia="Arial" w:cs="Arial"/>
      <w:i/>
      <w:iCs/>
      <w:sz w:val="22"/>
      <w:szCs w:val="22"/>
    </w:rPr>
  </w:style>
  <w:style w:type="character" w:styleId="1124" w:customStyle="1">
    <w:name w:val="Heading 9 Char"/>
    <w:basedOn w:val="1114"/>
    <w:uiPriority w:val="9"/>
    <w:rPr>
      <w:rFonts w:ascii="Arial" w:hAnsi="Arial" w:eastAsia="Arial" w:cs="Arial"/>
      <w:i/>
      <w:iCs/>
      <w:sz w:val="21"/>
      <w:szCs w:val="21"/>
    </w:rPr>
  </w:style>
  <w:style w:type="paragraph" w:styleId="1125">
    <w:name w:val="Subtitle"/>
    <w:basedOn w:val="1104"/>
    <w:next w:val="1104"/>
    <w:link w:val="1126"/>
    <w:uiPriority w:val="11"/>
    <w:qFormat/>
    <w:pPr>
      <w:spacing w:before="200"/>
    </w:pPr>
    <w:rPr>
      <w:sz w:val="24"/>
      <w:szCs w:val="24"/>
    </w:rPr>
  </w:style>
  <w:style w:type="character" w:styleId="1126" w:customStyle="1">
    <w:name w:val="Подзаголовок Знак"/>
    <w:basedOn w:val="1114"/>
    <w:link w:val="1125"/>
    <w:uiPriority w:val="11"/>
    <w:rPr>
      <w:sz w:val="24"/>
      <w:szCs w:val="24"/>
    </w:rPr>
  </w:style>
  <w:style w:type="paragraph" w:styleId="1127">
    <w:name w:val="Quote"/>
    <w:basedOn w:val="1104"/>
    <w:next w:val="1104"/>
    <w:link w:val="1128"/>
    <w:uiPriority w:val="29"/>
    <w:qFormat/>
    <w:pPr>
      <w:ind w:left="720" w:right="720"/>
    </w:pPr>
    <w:rPr>
      <w:i/>
    </w:rPr>
  </w:style>
  <w:style w:type="character" w:styleId="1128" w:customStyle="1">
    <w:name w:val="Цитата 2 Знак"/>
    <w:link w:val="1127"/>
    <w:uiPriority w:val="29"/>
    <w:rPr>
      <w:i/>
    </w:rPr>
  </w:style>
  <w:style w:type="paragraph" w:styleId="1129">
    <w:name w:val="Intense Quote"/>
    <w:basedOn w:val="1104"/>
    <w:next w:val="1104"/>
    <w:link w:val="11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30" w:customStyle="1">
    <w:name w:val="Выделенная цитата Знак"/>
    <w:link w:val="1129"/>
    <w:uiPriority w:val="30"/>
    <w:rPr>
      <w:i/>
    </w:rPr>
  </w:style>
  <w:style w:type="character" w:styleId="1131" w:customStyle="1">
    <w:name w:val="Footer Char"/>
    <w:basedOn w:val="1114"/>
    <w:uiPriority w:val="99"/>
  </w:style>
  <w:style w:type="character" w:styleId="1132" w:customStyle="1">
    <w:name w:val="Caption Char"/>
    <w:uiPriority w:val="99"/>
  </w:style>
  <w:style w:type="table" w:styleId="1133" w:customStyle="1">
    <w:name w:val="Table Grid Light"/>
    <w:basedOn w:val="11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34">
    <w:name w:val="Plain Table 1"/>
    <w:basedOn w:val="11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35">
    <w:name w:val="Plain Table 2"/>
    <w:basedOn w:val="111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36">
    <w:name w:val="Plain Table 3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 w:customStyle="1">
    <w:name w:val="Grid Table 1 Light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 w:customStyle="1">
    <w:name w:val="Grid Table 1 Light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 w:customStyle="1">
    <w:name w:val="Grid Table 1 Light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 w:customStyle="1">
    <w:name w:val="Grid Table 1 Light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 w:customStyle="1">
    <w:name w:val="Grid Table 1 Light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 w:customStyle="1">
    <w:name w:val="Grid Table 1 Light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 w:customStyle="1">
    <w:name w:val="Grid Table 2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 w:customStyle="1">
    <w:name w:val="Grid Table 2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 w:customStyle="1">
    <w:name w:val="Grid Table 2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 w:customStyle="1">
    <w:name w:val="Grid Table 2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 w:customStyle="1">
    <w:name w:val="Grid Table 2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 w:customStyle="1">
    <w:name w:val="Grid Table 2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 w:customStyle="1">
    <w:name w:val="Grid Table 3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 w:customStyle="1">
    <w:name w:val="Grid Table 3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 w:customStyle="1">
    <w:name w:val="Grid Table 3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 w:customStyle="1">
    <w:name w:val="Grid Table 3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 w:customStyle="1">
    <w:name w:val="Grid Table 3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 w:customStyle="1">
    <w:name w:val="Grid Table 3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 w:customStyle="1">
    <w:name w:val="Grid Table 4 - Accent 1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162" w:customStyle="1">
    <w:name w:val="Grid Table 4 - Accent 2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163" w:customStyle="1">
    <w:name w:val="Grid Table 4 - Accent 3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164" w:customStyle="1">
    <w:name w:val="Grid Table 4 - Accent 4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165" w:customStyle="1">
    <w:name w:val="Grid Table 4 - Accent 5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166" w:customStyle="1">
    <w:name w:val="Grid Table 4 - Accent 6"/>
    <w:basedOn w:val="11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167">
    <w:name w:val="Grid Table 5 Dark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68" w:customStyle="1">
    <w:name w:val="Grid Table 5 Dark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169" w:customStyle="1">
    <w:name w:val="Grid Table 5 Dark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170" w:customStyle="1">
    <w:name w:val="Grid Table 5 Dark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171" w:customStyle="1">
    <w:name w:val="Grid Table 5 Dark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172" w:customStyle="1">
    <w:name w:val="Grid Table 5 Dark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173" w:customStyle="1">
    <w:name w:val="Grid Table 5 Dark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174">
    <w:name w:val="Grid Table 6 Colorful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75" w:customStyle="1">
    <w:name w:val="Grid Table 6 Colorful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176" w:customStyle="1">
    <w:name w:val="Grid Table 6 Colorful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177" w:customStyle="1">
    <w:name w:val="Grid Table 6 Colorful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178" w:customStyle="1">
    <w:name w:val="Grid Table 6 Colorful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179" w:customStyle="1">
    <w:name w:val="Grid Table 6 Colorful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80" w:customStyle="1">
    <w:name w:val="Grid Table 6 Colorful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81">
    <w:name w:val="Grid Table 7 Colorful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Grid Table 7 Colorful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Grid Table 7 Colorful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 w:customStyle="1">
    <w:name w:val="Grid Table 7 Colorful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 w:customStyle="1">
    <w:name w:val="Grid Table 7 Colorful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 w:customStyle="1">
    <w:name w:val="Grid Table 7 Colorful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 w:customStyle="1">
    <w:name w:val="Grid Table 7 Colorful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 w:customStyle="1">
    <w:name w:val="List Table 1 Light - Accent 1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List Table 1 Light - Accent 2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List Table 1 Light - Accent 3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 w:customStyle="1">
    <w:name w:val="List Table 1 Light - Accent 4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List Table 1 Light - Accent 5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List Table 1 Light - Accent 6"/>
    <w:basedOn w:val="11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196" w:customStyle="1">
    <w:name w:val="List Table 2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197" w:customStyle="1">
    <w:name w:val="List Table 2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198" w:customStyle="1">
    <w:name w:val="List Table 2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199" w:customStyle="1">
    <w:name w:val="List Table 2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00" w:customStyle="1">
    <w:name w:val="List Table 2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01" w:customStyle="1">
    <w:name w:val="List Table 2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 w:customStyle="1">
    <w:name w:val="List Table 3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 w:customStyle="1">
    <w:name w:val="List Table 3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 w:customStyle="1">
    <w:name w:val="List Table 3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 w:customStyle="1">
    <w:name w:val="List Table 3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 w:customStyle="1">
    <w:name w:val="List Table 3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 w:customStyle="1">
    <w:name w:val="List Table 3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 w:customStyle="1">
    <w:name w:val="List Table 4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 w:customStyle="1">
    <w:name w:val="List Table 4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 w:customStyle="1">
    <w:name w:val="List Table 4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 w:customStyle="1">
    <w:name w:val="List Table 4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 w:customStyle="1">
    <w:name w:val="List Table 4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 w:customStyle="1">
    <w:name w:val="List Table 4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17" w:customStyle="1">
    <w:name w:val="List Table 5 Dark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18" w:customStyle="1">
    <w:name w:val="List Table 5 Dark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19" w:customStyle="1">
    <w:name w:val="List Table 5 Dark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0" w:customStyle="1">
    <w:name w:val="List Table 5 Dark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1" w:customStyle="1">
    <w:name w:val="List Table 5 Dark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2" w:customStyle="1">
    <w:name w:val="List Table 5 Dark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3">
    <w:name w:val="List Table 6 Colorful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24" w:customStyle="1">
    <w:name w:val="List Table 6 Colorful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25" w:customStyle="1">
    <w:name w:val="List Table 6 Colorful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26" w:customStyle="1">
    <w:name w:val="List Table 6 Colorful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27" w:customStyle="1">
    <w:name w:val="List Table 6 Colorful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28" w:customStyle="1">
    <w:name w:val="List Table 6 Colorful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29" w:customStyle="1">
    <w:name w:val="List Table 6 Colorful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30">
    <w:name w:val="List Table 7 Colorful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1" w:customStyle="1">
    <w:name w:val="List Table 7 Colorful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 w:customStyle="1">
    <w:name w:val="List Table 7 Colorful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3" w:customStyle="1">
    <w:name w:val="List Table 7 Colorful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4" w:customStyle="1">
    <w:name w:val="List Table 7 Colorful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5" w:customStyle="1">
    <w:name w:val="List Table 7 Colorful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 w:customStyle="1">
    <w:name w:val="List Table 7 Colorful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 w:customStyle="1">
    <w:name w:val="Lined - Accent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38" w:customStyle="1">
    <w:name w:val="Lined - Accent 1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39" w:customStyle="1">
    <w:name w:val="Lined - Accent 2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40" w:customStyle="1">
    <w:name w:val="Lined - Accent 3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41" w:customStyle="1">
    <w:name w:val="Lined - Accent 4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42" w:customStyle="1">
    <w:name w:val="Lined - Accent 5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43" w:customStyle="1">
    <w:name w:val="Lined - Accent 6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44" w:customStyle="1">
    <w:name w:val="Bordered &amp; Lined - Accent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45" w:customStyle="1">
    <w:name w:val="Bordered &amp; Lined - Accent 1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46" w:customStyle="1">
    <w:name w:val="Bordered &amp; Lined - Accent 2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47" w:customStyle="1">
    <w:name w:val="Bordered &amp; Lined - Accent 3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48" w:customStyle="1">
    <w:name w:val="Bordered &amp; Lined - Accent 4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49" w:customStyle="1">
    <w:name w:val="Bordered &amp; Lined - Accent 5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50" w:customStyle="1">
    <w:name w:val="Bordered &amp; Lined - Accent 6"/>
    <w:basedOn w:val="11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51" w:customStyle="1">
    <w:name w:val="Bordered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52" w:customStyle="1">
    <w:name w:val="Bordered - Accent 1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53" w:customStyle="1">
    <w:name w:val="Bordered - Accent 2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54" w:customStyle="1">
    <w:name w:val="Bordered - Accent 3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55" w:customStyle="1">
    <w:name w:val="Bordered - Accent 4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56" w:customStyle="1">
    <w:name w:val="Bordered - Accent 5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57" w:customStyle="1">
    <w:name w:val="Bordered - Accent 6"/>
    <w:basedOn w:val="11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258" w:customStyle="1">
    <w:name w:val="Footnote Text Char"/>
    <w:uiPriority w:val="99"/>
    <w:rPr>
      <w:sz w:val="18"/>
    </w:rPr>
  </w:style>
  <w:style w:type="character" w:styleId="1259" w:customStyle="1">
    <w:name w:val="Endnote Text Char"/>
    <w:uiPriority w:val="99"/>
    <w:rPr>
      <w:sz w:val="20"/>
    </w:rPr>
  </w:style>
  <w:style w:type="paragraph" w:styleId="1260">
    <w:name w:val="table of figures"/>
    <w:basedOn w:val="1104"/>
    <w:next w:val="1104"/>
    <w:uiPriority w:val="99"/>
    <w:unhideWhenUsed/>
    <w:pPr>
      <w:spacing w:after="0"/>
    </w:pPr>
  </w:style>
  <w:style w:type="character" w:styleId="1261" w:customStyle="1">
    <w:name w:val="Заголовок 1 Знак"/>
    <w:basedOn w:val="1114"/>
    <w:link w:val="1105"/>
    <w:uiPriority w:val="9"/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character" w:styleId="1262" w:customStyle="1">
    <w:name w:val="Заголовок 2 Знак"/>
    <w:basedOn w:val="1114"/>
    <w:link w:val="1106"/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character" w:styleId="1263" w:customStyle="1">
    <w:name w:val="Заголовок 3 Знак"/>
    <w:basedOn w:val="1114"/>
    <w:link w:val="1107"/>
    <w:uiPriority w:val="9"/>
    <w:rPr>
      <w:rFonts w:ascii="Times New Roman" w:hAnsi="Times New Roman" w:eastAsia="Calibri" w:cs="Times New Roman"/>
      <w:b/>
      <w:bCs/>
      <w:sz w:val="28"/>
      <w:szCs w:val="28"/>
    </w:rPr>
  </w:style>
  <w:style w:type="character" w:styleId="1264" w:customStyle="1">
    <w:name w:val="Заголовок 4 Знак"/>
    <w:basedOn w:val="1114"/>
    <w:link w:val="1108"/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character" w:styleId="1265" w:customStyle="1">
    <w:name w:val="Заголовок 5 Знак"/>
    <w:basedOn w:val="1114"/>
    <w:link w:val="1109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1266" w:customStyle="1">
    <w:name w:val="Заголовок 6 Знак"/>
    <w:basedOn w:val="1114"/>
    <w:link w:val="1110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1267" w:customStyle="1">
    <w:name w:val="Заголовок 7 Знак"/>
    <w:basedOn w:val="1114"/>
    <w:link w:val="1111"/>
    <w:rPr>
      <w:rFonts w:ascii="Times New Roman" w:hAnsi="Times New Roman" w:eastAsia="Calibri" w:cs="Times New Roman"/>
      <w:sz w:val="26"/>
      <w:szCs w:val="26"/>
    </w:rPr>
  </w:style>
  <w:style w:type="character" w:styleId="1268" w:customStyle="1">
    <w:name w:val="Заголовок 8 Знак"/>
    <w:basedOn w:val="1114"/>
    <w:link w:val="1112"/>
    <w:rPr>
      <w:rFonts w:ascii="Times New Roman" w:hAnsi="Times New Roman" w:eastAsia="Times New Roman" w:cs="Times New Roman"/>
      <w:i/>
      <w:iCs/>
      <w:sz w:val="26"/>
      <w:szCs w:val="26"/>
    </w:rPr>
  </w:style>
  <w:style w:type="character" w:styleId="1269" w:customStyle="1">
    <w:name w:val="Заголовок 9 Знак"/>
    <w:basedOn w:val="1114"/>
    <w:link w:val="1113"/>
    <w:rPr>
      <w:rFonts w:ascii="Arial" w:hAnsi="Arial" w:eastAsia="Times New Roman" w:cs="Times New Roman"/>
    </w:rPr>
  </w:style>
  <w:style w:type="paragraph" w:styleId="1270">
    <w:name w:val="List Paragraph"/>
    <w:basedOn w:val="1104"/>
    <w:link w:val="1383"/>
    <w:qFormat/>
    <w:pPr>
      <w:contextualSpacing/>
      <w:ind w:left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271">
    <w:name w:val="Hyperlink"/>
    <w:uiPriority w:val="99"/>
    <w:rPr>
      <w:u w:val="single"/>
    </w:rPr>
  </w:style>
  <w:style w:type="table" w:styleId="1272" w:customStyle="1">
    <w:name w:val="Table 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273" w:customStyle="1">
    <w:name w:val="Колонтитулы"/>
    <w:pPr>
      <w:spacing w:after="0" w:line="240" w:lineRule="auto"/>
      <w:tabs>
        <w:tab w:val="right" w:pos="90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" w:hAnsi="Helvetica" w:eastAsia="Arial Unicode MS" w:cs="Arial Unicode MS"/>
      <w:color w:val="000000"/>
      <w:sz w:val="24"/>
      <w:szCs w:val="24"/>
      <w:lang w:eastAsia="ru-RU"/>
    </w:rPr>
  </w:style>
  <w:style w:type="paragraph" w:styleId="1274">
    <w:name w:val="Footer"/>
    <w:link w:val="1275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275" w:customStyle="1">
    <w:name w:val="Нижний колонтитул Знак"/>
    <w:basedOn w:val="1114"/>
    <w:link w:val="1274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276">
    <w:name w:val="Title"/>
    <w:link w:val="1277"/>
    <w:qFormat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character" w:styleId="1277" w:customStyle="1">
    <w:name w:val="Заголовок Знак"/>
    <w:basedOn w:val="1114"/>
    <w:link w:val="1276"/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paragraph" w:styleId="1278" w:customStyle="1">
    <w:name w:val="ConsPlusNormal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279">
    <w:name w:val="Body Text Indent 3"/>
    <w:link w:val="1280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character" w:styleId="1280" w:customStyle="1">
    <w:name w:val="Основной текст с отступом 3 Знак"/>
    <w:basedOn w:val="1114"/>
    <w:link w:val="1279"/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numbering" w:styleId="1281" w:customStyle="1">
    <w:name w:val="Импортированный стиль 3"/>
    <w:pPr>
      <w:numPr>
        <w:ilvl w:val="0"/>
        <w:numId w:val="1"/>
      </w:numPr>
    </w:pPr>
  </w:style>
  <w:style w:type="numbering" w:styleId="1282" w:customStyle="1">
    <w:name w:val="Импортированный стиль 4"/>
    <w:pPr>
      <w:numPr>
        <w:ilvl w:val="0"/>
        <w:numId w:val="2"/>
      </w:numPr>
    </w:pPr>
  </w:style>
  <w:style w:type="paragraph" w:styleId="1283" w:customStyle="1">
    <w:name w:val="Ариал"/>
    <w:link w:val="1464"/>
    <w:pPr>
      <w:ind w:firstLine="851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4"/>
      <w:szCs w:val="24"/>
      <w:lang w:eastAsia="ru-RU"/>
    </w:rPr>
  </w:style>
  <w:style w:type="numbering" w:styleId="1284" w:customStyle="1">
    <w:name w:val="Импортированный стиль 5"/>
    <w:pPr>
      <w:numPr>
        <w:ilvl w:val="0"/>
        <w:numId w:val="3"/>
      </w:numPr>
    </w:pPr>
  </w:style>
  <w:style w:type="numbering" w:styleId="1285" w:customStyle="1">
    <w:name w:val="Импортированный стиль 6"/>
    <w:pPr>
      <w:numPr>
        <w:ilvl w:val="0"/>
        <w:numId w:val="4"/>
      </w:numPr>
    </w:pPr>
  </w:style>
  <w:style w:type="paragraph" w:styleId="1286">
    <w:name w:val="footnote text"/>
    <w:link w:val="1287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87" w:customStyle="1">
    <w:name w:val="Текст сноски Знак"/>
    <w:basedOn w:val="1114"/>
    <w:link w:val="1286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88">
    <w:name w:val="footnote reference"/>
    <w:rPr>
      <w:vertAlign w:val="superscript"/>
    </w:rPr>
  </w:style>
  <w:style w:type="paragraph" w:styleId="1289">
    <w:name w:val="Body Text Indent 2"/>
    <w:link w:val="1290"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290" w:customStyle="1">
    <w:name w:val="Основной текст с отступом 2 Знак"/>
    <w:basedOn w:val="1114"/>
    <w:link w:val="1289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291" w:customStyle="1">
    <w:name w:val="Импортированный стиль 7"/>
    <w:pPr>
      <w:numPr>
        <w:ilvl w:val="0"/>
        <w:numId w:val="5"/>
      </w:numPr>
    </w:pPr>
  </w:style>
  <w:style w:type="paragraph" w:styleId="1292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293" w:customStyle="1">
    <w:name w:val="Импортированный стиль 8"/>
    <w:pPr>
      <w:numPr>
        <w:ilvl w:val="0"/>
        <w:numId w:val="6"/>
      </w:numPr>
    </w:pPr>
  </w:style>
  <w:style w:type="numbering" w:styleId="1294" w:customStyle="1">
    <w:name w:val="Импортированный стиль 9"/>
    <w:pPr>
      <w:numPr>
        <w:ilvl w:val="0"/>
        <w:numId w:val="7"/>
      </w:numPr>
    </w:pPr>
  </w:style>
  <w:style w:type="numbering" w:styleId="1295" w:customStyle="1">
    <w:name w:val="Импортированный стиль 10"/>
    <w:pPr>
      <w:numPr>
        <w:ilvl w:val="0"/>
        <w:numId w:val="8"/>
      </w:numPr>
    </w:pPr>
  </w:style>
  <w:style w:type="numbering" w:styleId="1296" w:customStyle="1">
    <w:name w:val="Импортированный стиль 11"/>
    <w:pPr>
      <w:numPr>
        <w:ilvl w:val="0"/>
        <w:numId w:val="9"/>
      </w:numPr>
    </w:pPr>
  </w:style>
  <w:style w:type="numbering" w:styleId="1297" w:customStyle="1">
    <w:name w:val="Импортированный стиль 12"/>
    <w:pPr>
      <w:numPr>
        <w:ilvl w:val="0"/>
        <w:numId w:val="10"/>
      </w:numPr>
    </w:pPr>
  </w:style>
  <w:style w:type="numbering" w:styleId="1298" w:customStyle="1">
    <w:name w:val="Импортированный стиль 13"/>
    <w:pPr>
      <w:numPr>
        <w:ilvl w:val="0"/>
        <w:numId w:val="11"/>
      </w:numPr>
    </w:pPr>
  </w:style>
  <w:style w:type="paragraph" w:styleId="1299">
    <w:name w:val="List 2"/>
    <w:pPr>
      <w:ind w:left="1260"/>
      <w:jc w:val="both"/>
      <w:spacing w:after="0" w:line="360" w:lineRule="auto"/>
      <w:tabs>
        <w:tab w:val="left" w:pos="19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8"/>
      <w:szCs w:val="28"/>
      <w:lang w:eastAsia="ru-RU"/>
    </w:rPr>
  </w:style>
  <w:style w:type="paragraph" w:styleId="1300">
    <w:name w:val="Body Text"/>
    <w:link w:val="1301"/>
    <w:uiPriority w:val="99"/>
    <w:pPr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301" w:customStyle="1">
    <w:name w:val="Основной текст Знак"/>
    <w:basedOn w:val="1114"/>
    <w:link w:val="1300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302" w:customStyle="1">
    <w:name w:val="Импортированный стиль 15"/>
    <w:pPr>
      <w:numPr>
        <w:ilvl w:val="0"/>
        <w:numId w:val="12"/>
      </w:numPr>
    </w:pPr>
  </w:style>
  <w:style w:type="numbering" w:styleId="1303" w:customStyle="1">
    <w:name w:val="Импортированный стиль 16"/>
    <w:pPr>
      <w:numPr>
        <w:ilvl w:val="0"/>
        <w:numId w:val="13"/>
      </w:numPr>
    </w:pPr>
  </w:style>
  <w:style w:type="numbering" w:styleId="1304" w:customStyle="1">
    <w:name w:val="Импортированный стиль 17"/>
    <w:pPr>
      <w:numPr>
        <w:ilvl w:val="0"/>
        <w:numId w:val="14"/>
      </w:numPr>
    </w:pPr>
  </w:style>
  <w:style w:type="paragraph" w:styleId="1305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numbering" w:styleId="1306" w:customStyle="1">
    <w:name w:val="Импортированный стиль 18"/>
    <w:pPr>
      <w:numPr>
        <w:ilvl w:val="0"/>
        <w:numId w:val="15"/>
      </w:numPr>
    </w:pPr>
  </w:style>
  <w:style w:type="paragraph" w:styleId="1307">
    <w:name w:val="Header"/>
    <w:link w:val="1308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308" w:customStyle="1">
    <w:name w:val="Верхний колонтитул Знак"/>
    <w:basedOn w:val="1114"/>
    <w:link w:val="1307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309" w:customStyle="1">
    <w:name w:val="Times 12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310" w:customStyle="1">
    <w:name w:val="Импортированный стиль 19"/>
    <w:pPr>
      <w:numPr>
        <w:ilvl w:val="0"/>
        <w:numId w:val="16"/>
      </w:numPr>
    </w:pPr>
  </w:style>
  <w:style w:type="numbering" w:styleId="1311" w:customStyle="1">
    <w:name w:val="Импортированный стиль 20"/>
    <w:pPr>
      <w:numPr>
        <w:ilvl w:val="0"/>
        <w:numId w:val="17"/>
      </w:numPr>
    </w:pPr>
  </w:style>
  <w:style w:type="paragraph" w:styleId="1312" w:customStyle="1">
    <w:name w:val="CC Legal 1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Book Antiqua" w:hAnsi="Book Antiqua" w:eastAsia="Arial Unicode MS" w:cs="Arial Unicode MS"/>
      <w:color w:val="000000"/>
      <w:lang w:val="en-US" w:eastAsia="ru-RU"/>
    </w:rPr>
  </w:style>
  <w:style w:type="paragraph" w:styleId="1313" w:customStyle="1">
    <w:name w:val="Пункт б/н"/>
    <w:pPr>
      <w:ind w:firstLine="567"/>
      <w:jc w:val="both"/>
      <w:spacing w:after="0" w:line="360" w:lineRule="auto"/>
      <w:tabs>
        <w:tab w:val="left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lang w:eastAsia="ru-RU"/>
    </w:rPr>
  </w:style>
  <w:style w:type="paragraph" w:styleId="1314" w:customStyle="1">
    <w:name w:val="Iniiaiie oaeno"/>
    <w:pPr>
      <w:ind w:firstLine="720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ms Rmn" w:hAnsi="Tms Rmn" w:eastAsia="Tms Rmn" w:cs="Tms Rmn"/>
      <w:color w:val="000000"/>
      <w:sz w:val="20"/>
      <w:szCs w:val="20"/>
      <w:lang w:eastAsia="ru-RU"/>
    </w:rPr>
  </w:style>
  <w:style w:type="numbering" w:styleId="1315" w:customStyle="1">
    <w:name w:val="Импортированный стиль 21"/>
    <w:pPr>
      <w:numPr>
        <w:ilvl w:val="0"/>
        <w:numId w:val="18"/>
      </w:numPr>
    </w:pPr>
  </w:style>
  <w:style w:type="paragraph" w:styleId="1316">
    <w:name w:val="Body Text Indent"/>
    <w:link w:val="1317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317" w:customStyle="1">
    <w:name w:val="Основной текст с отступом Знак"/>
    <w:basedOn w:val="1114"/>
    <w:link w:val="1316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318" w:customStyle="1">
    <w:name w:val="Импортированный стиль 22"/>
    <w:pPr>
      <w:numPr>
        <w:ilvl w:val="0"/>
        <w:numId w:val="19"/>
      </w:numPr>
    </w:pPr>
  </w:style>
  <w:style w:type="paragraph" w:styleId="1319" w:customStyle="1">
    <w:name w:val="Body Text Indent 21"/>
    <w:pPr>
      <w:ind w:firstLine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6"/>
      <w:szCs w:val="26"/>
      <w:lang w:eastAsia="ru-RU"/>
    </w:rPr>
  </w:style>
  <w:style w:type="numbering" w:styleId="1320" w:customStyle="1">
    <w:name w:val="Импортированный стиль 23"/>
    <w:pPr>
      <w:numPr>
        <w:ilvl w:val="0"/>
        <w:numId w:val="20"/>
      </w:numPr>
    </w:pPr>
  </w:style>
  <w:style w:type="numbering" w:styleId="1321" w:customStyle="1">
    <w:name w:val="Импортированный стиль 24"/>
    <w:pPr>
      <w:numPr>
        <w:ilvl w:val="0"/>
        <w:numId w:val="21"/>
      </w:numPr>
    </w:pPr>
  </w:style>
  <w:style w:type="numbering" w:styleId="1322" w:customStyle="1">
    <w:name w:val="Импортированный стиль 25"/>
    <w:pPr>
      <w:numPr>
        <w:ilvl w:val="0"/>
        <w:numId w:val="22"/>
      </w:numPr>
    </w:pPr>
  </w:style>
  <w:style w:type="paragraph" w:styleId="1323" w:customStyle="1">
    <w:name w:val="бычный"/>
    <w:link w:val="1490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24" w:customStyle="1">
    <w:name w:val="Preformatted Tex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Arial Unicode MS" w:cs="Arial Unicode MS"/>
      <w:color w:val="000000"/>
      <w:sz w:val="20"/>
      <w:szCs w:val="20"/>
      <w:lang w:eastAsia="ru-RU"/>
    </w:rPr>
  </w:style>
  <w:style w:type="paragraph" w:styleId="1325" w:customStyle="1">
    <w:name w:val="au?iue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26" w:customStyle="1">
    <w:name w:val="Body Text 21"/>
    <w:pPr>
      <w:ind w:firstLine="567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327" w:customStyle="1">
    <w:name w:val="Импортированный стиль 26"/>
    <w:pPr>
      <w:numPr>
        <w:ilvl w:val="0"/>
        <w:numId w:val="23"/>
      </w:numPr>
    </w:pPr>
  </w:style>
  <w:style w:type="paragraph" w:styleId="1328" w:customStyle="1">
    <w:name w:val="Body Text 23"/>
    <w:pPr>
      <w:ind w:firstLine="567"/>
      <w:jc w:val="both"/>
      <w:spacing w:after="0" w:line="240" w:lineRule="atLeas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329">
    <w:name w:val="Body Text 3"/>
    <w:link w:val="1330"/>
    <w:pPr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character" w:styleId="1330" w:customStyle="1">
    <w:name w:val="Основной текст 3 Знак"/>
    <w:basedOn w:val="1114"/>
    <w:link w:val="1329"/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numbering" w:styleId="1331" w:customStyle="1">
    <w:name w:val="Импортированный стиль 27"/>
    <w:pPr>
      <w:numPr>
        <w:ilvl w:val="0"/>
        <w:numId w:val="24"/>
      </w:numPr>
    </w:pPr>
  </w:style>
  <w:style w:type="paragraph" w:styleId="1332" w:customStyle="1">
    <w:name w:val="Абзац правил"/>
    <w:pPr>
      <w:ind w:firstLine="567"/>
      <w:jc w:val="both"/>
      <w:spacing w:before="40" w:after="4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numbering" w:styleId="1333" w:customStyle="1">
    <w:name w:val="Импортированный стиль 28"/>
    <w:pPr>
      <w:numPr>
        <w:ilvl w:val="0"/>
        <w:numId w:val="25"/>
      </w:numPr>
    </w:pPr>
  </w:style>
  <w:style w:type="numbering" w:styleId="1334" w:customStyle="1">
    <w:name w:val="Импортированный стиль 29"/>
    <w:pPr>
      <w:numPr>
        <w:ilvl w:val="0"/>
        <w:numId w:val="26"/>
      </w:numPr>
    </w:pPr>
  </w:style>
  <w:style w:type="numbering" w:styleId="1335" w:customStyle="1">
    <w:name w:val="Импортированный стиль 30"/>
    <w:pPr>
      <w:numPr>
        <w:ilvl w:val="0"/>
        <w:numId w:val="27"/>
      </w:numPr>
    </w:pPr>
  </w:style>
  <w:style w:type="numbering" w:styleId="1336" w:customStyle="1">
    <w:name w:val="Импортированный стиль 31"/>
    <w:pPr>
      <w:numPr>
        <w:ilvl w:val="0"/>
        <w:numId w:val="28"/>
      </w:numPr>
    </w:pPr>
  </w:style>
  <w:style w:type="paragraph" w:styleId="1337">
    <w:name w:val="annotation text"/>
    <w:link w:val="1338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character" w:styleId="1338" w:customStyle="1">
    <w:name w:val="Текст примечания Знак"/>
    <w:basedOn w:val="1114"/>
    <w:link w:val="1337"/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339" w:customStyle="1">
    <w:name w:val="Импортированный стиль 32"/>
    <w:pPr>
      <w:numPr>
        <w:ilvl w:val="0"/>
        <w:numId w:val="29"/>
      </w:numPr>
    </w:pPr>
  </w:style>
  <w:style w:type="numbering" w:styleId="1340" w:customStyle="1">
    <w:name w:val="Импортированный стиль 33"/>
    <w:pPr>
      <w:numPr>
        <w:ilvl w:val="0"/>
        <w:numId w:val="30"/>
      </w:numPr>
    </w:pPr>
  </w:style>
  <w:style w:type="numbering" w:styleId="1341" w:customStyle="1">
    <w:name w:val="Импортированный стиль 34"/>
    <w:pPr>
      <w:numPr>
        <w:ilvl w:val="0"/>
        <w:numId w:val="31"/>
      </w:numPr>
    </w:pPr>
  </w:style>
  <w:style w:type="numbering" w:styleId="1342" w:customStyle="1">
    <w:name w:val="Импортированный стиль 35"/>
    <w:pPr>
      <w:numPr>
        <w:ilvl w:val="0"/>
        <w:numId w:val="32"/>
      </w:numPr>
    </w:pPr>
  </w:style>
  <w:style w:type="numbering" w:styleId="1343" w:customStyle="1">
    <w:name w:val="Импортированный стиль 36"/>
    <w:pPr>
      <w:numPr>
        <w:ilvl w:val="0"/>
        <w:numId w:val="33"/>
      </w:numPr>
    </w:pPr>
  </w:style>
  <w:style w:type="numbering" w:styleId="1344" w:customStyle="1">
    <w:name w:val="Импортированный стиль 37"/>
    <w:pPr>
      <w:numPr>
        <w:ilvl w:val="0"/>
        <w:numId w:val="34"/>
      </w:numPr>
    </w:pPr>
  </w:style>
  <w:style w:type="paragraph" w:styleId="1345" w:customStyle="1">
    <w:name w:val="Текст в документе"/>
    <w:pPr>
      <w:ind w:firstLine="709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46" w:customStyle="1">
    <w:name w:val="Style17"/>
    <w:pPr>
      <w:ind w:firstLine="643"/>
      <w:jc w:val="both"/>
      <w:spacing w:after="0" w:line="347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paragraph" w:styleId="1347" w:customStyle="1">
    <w:name w:val="Style22"/>
    <w:pPr>
      <w:spacing w:after="0" w:line="33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48" w:customStyle="1">
    <w:name w:val="Импортированный стиль 38"/>
    <w:pPr>
      <w:numPr>
        <w:ilvl w:val="0"/>
        <w:numId w:val="35"/>
      </w:numPr>
    </w:pPr>
  </w:style>
  <w:style w:type="paragraph" w:styleId="1349" w:customStyle="1">
    <w:name w:val="Style16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50" w:customStyle="1">
    <w:name w:val="Импортированный стиль 39"/>
    <w:pPr>
      <w:numPr>
        <w:ilvl w:val="0"/>
        <w:numId w:val="36"/>
      </w:numPr>
    </w:pPr>
  </w:style>
  <w:style w:type="paragraph" w:styleId="1351" w:customStyle="1">
    <w:name w:val="Style32"/>
    <w:pPr>
      <w:ind w:firstLine="653"/>
      <w:jc w:val="both"/>
      <w:spacing w:after="0" w:line="34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52" w:customStyle="1">
    <w:name w:val="Импортированный стиль 40"/>
    <w:pPr>
      <w:numPr>
        <w:ilvl w:val="0"/>
        <w:numId w:val="37"/>
      </w:numPr>
    </w:pPr>
  </w:style>
  <w:style w:type="numbering" w:styleId="1353" w:customStyle="1">
    <w:name w:val="Импортированный стиль 41"/>
    <w:pPr>
      <w:numPr>
        <w:ilvl w:val="0"/>
        <w:numId w:val="38"/>
      </w:numPr>
    </w:pPr>
  </w:style>
  <w:style w:type="numbering" w:styleId="1354" w:customStyle="1">
    <w:name w:val="Импортированный стиль 42"/>
    <w:pPr>
      <w:numPr>
        <w:ilvl w:val="0"/>
        <w:numId w:val="39"/>
      </w:numPr>
    </w:pPr>
  </w:style>
  <w:style w:type="paragraph" w:styleId="1355">
    <w:name w:val="Block Text"/>
    <w:pPr>
      <w:ind w:firstLine="540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1356" w:customStyle="1">
    <w:name w:val="Импортированный стиль 43"/>
    <w:pPr>
      <w:numPr>
        <w:ilvl w:val="0"/>
        <w:numId w:val="40"/>
      </w:numPr>
    </w:pPr>
  </w:style>
  <w:style w:type="numbering" w:styleId="1357" w:customStyle="1">
    <w:name w:val="Импортированный стиль 44"/>
    <w:pPr>
      <w:numPr>
        <w:ilvl w:val="0"/>
        <w:numId w:val="41"/>
      </w:numPr>
    </w:pPr>
  </w:style>
  <w:style w:type="numbering" w:styleId="1358" w:customStyle="1">
    <w:name w:val="Импортированный стиль 45"/>
    <w:pPr>
      <w:numPr>
        <w:ilvl w:val="0"/>
        <w:numId w:val="42"/>
      </w:numPr>
    </w:pPr>
  </w:style>
  <w:style w:type="paragraph" w:styleId="1359">
    <w:name w:val="Balloon Text"/>
    <w:basedOn w:val="1104"/>
    <w:link w:val="1360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360" w:customStyle="1">
    <w:name w:val="Текст выноски Знак"/>
    <w:basedOn w:val="1114"/>
    <w:link w:val="135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361">
    <w:name w:val="Body Text 2"/>
    <w:basedOn w:val="1104"/>
    <w:link w:val="1362"/>
    <w:unhideWhenUsed/>
    <w:pPr>
      <w:spacing w:after="120" w:line="480" w:lineRule="auto"/>
    </w:pPr>
  </w:style>
  <w:style w:type="character" w:styleId="1362" w:customStyle="1">
    <w:name w:val="Основной текст 2 Знак"/>
    <w:basedOn w:val="1114"/>
    <w:link w:val="1361"/>
  </w:style>
  <w:style w:type="paragraph" w:styleId="1363" w:customStyle="1">
    <w:name w:val="Стиль начало"/>
    <w:basedOn w:val="1104"/>
    <w:pPr>
      <w:spacing w:after="0" w:line="264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364">
    <w:name w:val="Table Grid"/>
    <w:basedOn w:val="111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65">
    <w:name w:val="Revision"/>
    <w:hidden/>
    <w:uiPriority w:val="99"/>
    <w:semiHidden/>
    <w:pPr>
      <w:spacing w:after="0" w:line="240" w:lineRule="auto"/>
    </w:pPr>
  </w:style>
  <w:style w:type="character" w:styleId="1366">
    <w:name w:val="page number"/>
    <w:basedOn w:val="1114"/>
    <w:rPr>
      <w:rFonts w:cs="Times New Roman"/>
    </w:rPr>
  </w:style>
  <w:style w:type="paragraph" w:styleId="1367">
    <w:name w:val="Plain Text"/>
    <w:basedOn w:val="1104"/>
    <w:link w:val="1368"/>
    <w:uiPriority w:val="99"/>
    <w:unhideWhenUsed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character" w:styleId="1368" w:customStyle="1">
    <w:name w:val="Текст Знак"/>
    <w:basedOn w:val="1114"/>
    <w:link w:val="1367"/>
    <w:uiPriority w:val="99"/>
    <w:rPr>
      <w:rFonts w:ascii="Courier New" w:hAnsi="Courier New" w:eastAsia="SimSun" w:cs="Courier New"/>
      <w:sz w:val="20"/>
      <w:szCs w:val="20"/>
      <w:lang w:eastAsia="ru-RU"/>
    </w:rPr>
  </w:style>
  <w:style w:type="paragraph" w:styleId="1369" w:customStyle="1">
    <w:name w:val="Heading"/>
    <w:uiPriority w:val="99"/>
    <w:pPr>
      <w:spacing w:after="0" w:line="240" w:lineRule="auto"/>
    </w:pPr>
    <w:rPr>
      <w:rFonts w:ascii="Arial" w:hAnsi="Arial" w:eastAsia="SimSun" w:cs="Arial"/>
      <w:b/>
      <w:bCs/>
      <w:lang w:eastAsia="ru-RU"/>
    </w:rPr>
  </w:style>
  <w:style w:type="paragraph" w:styleId="1370" w:customStyle="1">
    <w:name w:val="Preformat"/>
    <w:uiPriority w:val="99"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paragraph" w:styleId="1371" w:customStyle="1">
    <w:name w:val="xl30"/>
    <w:basedOn w:val="1104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eastAsia="ru-RU"/>
    </w:rPr>
  </w:style>
  <w:style w:type="paragraph" w:styleId="1372" w:customStyle="1">
    <w:name w:val="xl28"/>
    <w:basedOn w:val="1104"/>
    <w:pPr>
      <w:jc w:val="center"/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32"/>
      <w:szCs w:val="32"/>
      <w:lang w:eastAsia="ru-RU"/>
    </w:rPr>
  </w:style>
  <w:style w:type="character" w:styleId="1373">
    <w:name w:val="annotation reference"/>
    <w:basedOn w:val="1114"/>
    <w:unhideWhenUsed/>
    <w:rPr>
      <w:sz w:val="16"/>
      <w:szCs w:val="16"/>
    </w:rPr>
  </w:style>
  <w:style w:type="paragraph" w:styleId="1374">
    <w:name w:val="annotation subject"/>
    <w:basedOn w:val="1337"/>
    <w:next w:val="1337"/>
    <w:link w:val="1375"/>
    <w:uiPriority w:val="99"/>
    <w:semiHidden/>
    <w:unhideWhenUsed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b/>
      <w:bCs/>
      <w:color w:val="auto"/>
      <w:lang w:eastAsia="en-US"/>
    </w:rPr>
  </w:style>
  <w:style w:type="character" w:styleId="1375" w:customStyle="1">
    <w:name w:val="Тема примечания Знак"/>
    <w:basedOn w:val="1338"/>
    <w:link w:val="1374"/>
    <w:uiPriority w:val="99"/>
    <w:semiHidden/>
    <w:rPr>
      <w:rFonts w:ascii="Times New Roman" w:hAnsi="Times New Roman" w:eastAsia="Arial Unicode MS" w:cs="Arial Unicode MS"/>
      <w:b/>
      <w:bCs/>
      <w:color w:val="000000"/>
      <w:sz w:val="20"/>
      <w:szCs w:val="20"/>
      <w:lang w:eastAsia="ru-RU"/>
    </w:rPr>
  </w:style>
  <w:style w:type="paragraph" w:styleId="1376">
    <w:name w:val="HTML Preformatted"/>
    <w:basedOn w:val="1104"/>
    <w:link w:val="1377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77" w:customStyle="1">
    <w:name w:val="Стандартный HTML Знак"/>
    <w:basedOn w:val="1114"/>
    <w:link w:val="1376"/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78" w:customStyle="1">
    <w:name w:val="s_10"/>
    <w:basedOn w:val="1114"/>
  </w:style>
  <w:style w:type="character" w:styleId="1379" w:customStyle="1">
    <w:name w:val="ecatbody"/>
    <w:basedOn w:val="1114"/>
  </w:style>
  <w:style w:type="character" w:styleId="1380" w:customStyle="1">
    <w:name w:val="ecattext"/>
    <w:basedOn w:val="1114"/>
  </w:style>
  <w:style w:type="character" w:styleId="1381">
    <w:name w:val="Emphasis"/>
    <w:basedOn w:val="1114"/>
    <w:uiPriority w:val="20"/>
    <w:qFormat/>
    <w:rPr>
      <w:i/>
      <w:iCs/>
    </w:rPr>
  </w:style>
  <w:style w:type="paragraph" w:styleId="1382">
    <w:name w:val="Normal Indent"/>
    <w:basedOn w:val="1104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83" w:customStyle="1">
    <w:name w:val="Абзац списка Знак"/>
    <w:basedOn w:val="1114"/>
    <w:link w:val="1270"/>
    <w:uiPriority w:val="34"/>
    <w:qFormat/>
    <w:rPr>
      <w:rFonts w:ascii="Arial" w:hAnsi="Arial" w:eastAsia="Times New Roman" w:cs="Arial"/>
      <w:sz w:val="20"/>
      <w:szCs w:val="20"/>
      <w:lang w:eastAsia="ru-RU"/>
    </w:rPr>
  </w:style>
  <w:style w:type="paragraph" w:styleId="1384">
    <w:name w:val="Normal (Web)"/>
    <w:basedOn w:val="1104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paragraph" w:styleId="1385">
    <w:name w:val="toc 2"/>
    <w:basedOn w:val="1104"/>
    <w:next w:val="1104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1386">
    <w:name w:val="TOC Heading"/>
    <w:basedOn w:val="1105"/>
    <w:next w:val="1104"/>
    <w:uiPriority w:val="39"/>
    <w:unhideWhenUsed/>
    <w:qFormat/>
    <w:pPr>
      <w:keepLines/>
      <w:keepNext/>
      <w:spacing w:before="480" w:after="0" w:line="276" w:lineRule="auto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outlineLvl w:val="9"/>
    </w:pPr>
    <w:rPr>
      <w:rFonts w:ascii="Cambria" w:hAnsi="Cambria" w:eastAsia="Times New Roman" w:cs="Times New Roman"/>
      <w:b/>
      <w:bCs/>
      <w:color w:val="365f91"/>
      <w:sz w:val="28"/>
      <w:szCs w:val="28"/>
      <w:lang w:val="ru-RU" w:eastAsia="en-US"/>
    </w:rPr>
  </w:style>
  <w:style w:type="paragraph" w:styleId="1387">
    <w:name w:val="toc 1"/>
    <w:basedOn w:val="1104"/>
    <w:next w:val="1104"/>
    <w:uiPriority w:val="39"/>
    <w:qFormat/>
    <w:pPr>
      <w:spacing w:before="360" w:after="0" w:line="240" w:lineRule="auto"/>
    </w:pPr>
    <w:rPr>
      <w:rFonts w:eastAsia="Times New Roman" w:cs="Times New Roman" w:asciiTheme="majorHAnsi" w:hAnsiTheme="majorHAnsi"/>
      <w:b/>
      <w:bCs/>
      <w:caps/>
      <w:sz w:val="24"/>
      <w:szCs w:val="24"/>
      <w:lang w:eastAsia="ru-RU"/>
    </w:rPr>
  </w:style>
  <w:style w:type="paragraph" w:styleId="1388">
    <w:name w:val="No Spacing"/>
    <w:link w:val="1588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389" w:customStyle="1">
    <w:name w:val="Текст1"/>
    <w:basedOn w:val="1104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390" w:customStyle="1">
    <w:name w:val="Стиль6"/>
    <w:basedOn w:val="1279"/>
    <w:link w:val="1391"/>
    <w:qFormat/>
    <w:pPr>
      <w:ind w:left="0"/>
      <w:jc w:val="center"/>
      <w:spacing w:after="0"/>
      <w:widowControl/>
      <w:tabs>
        <w:tab w:val="left" w:pos="-142" w:leader="none"/>
        <w:tab w:val="left" w:pos="284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sz w:val="28"/>
      <w:szCs w:val="28"/>
    </w:rPr>
  </w:style>
  <w:style w:type="character" w:styleId="1391" w:customStyle="1">
    <w:name w:val="Стиль6 Знак"/>
    <w:basedOn w:val="1280"/>
    <w:link w:val="1390"/>
    <w:rPr>
      <w:rFonts w:ascii="Times New Roman" w:hAnsi="Times New Roman" w:eastAsia="Times New Roman" w:cs="Times New Roman"/>
      <w:b/>
      <w:color w:val="000000"/>
      <w:sz w:val="28"/>
      <w:szCs w:val="28"/>
      <w:lang w:eastAsia="ru-RU"/>
    </w:rPr>
  </w:style>
  <w:style w:type="paragraph" w:styleId="1392" w:customStyle="1">
    <w:name w:val="f"/>
    <w:basedOn w:val="1104"/>
    <w:pPr>
      <w:ind w:left="48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3">
    <w:name w:val="Strong"/>
    <w:basedOn w:val="1114"/>
    <w:uiPriority w:val="22"/>
    <w:qFormat/>
    <w:rPr>
      <w:rFonts w:cs="Times New Roman"/>
      <w:b/>
      <w:bCs/>
    </w:rPr>
  </w:style>
  <w:style w:type="character" w:styleId="1394" w:customStyle="1">
    <w:name w:val="dept1"/>
    <w:uiPriority w:val="99"/>
    <w:rPr>
      <w:b/>
      <w:color w:val="auto"/>
      <w:sz w:val="16"/>
    </w:rPr>
  </w:style>
  <w:style w:type="paragraph" w:styleId="1395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96" w:customStyle="1">
    <w:name w:val="Цитата1"/>
    <w:basedOn w:val="1104"/>
    <w:pPr>
      <w:ind w:left="760" w:right="1004" w:hanging="4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97">
    <w:name w:val="toc 3"/>
    <w:basedOn w:val="1104"/>
    <w:next w:val="1104"/>
    <w:uiPriority w:val="39"/>
    <w:qFormat/>
    <w:pPr>
      <w:ind w:left="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98">
    <w:name w:val="toc 4"/>
    <w:basedOn w:val="1104"/>
    <w:next w:val="1104"/>
    <w:uiPriority w:val="39"/>
    <w:pPr>
      <w:ind w:left="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399">
    <w:name w:val="toc 5"/>
    <w:basedOn w:val="1104"/>
    <w:next w:val="1104"/>
    <w:uiPriority w:val="39"/>
    <w:pPr>
      <w:ind w:left="6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00">
    <w:name w:val="toc 6"/>
    <w:basedOn w:val="1104"/>
    <w:next w:val="1104"/>
    <w:uiPriority w:val="39"/>
    <w:pPr>
      <w:ind w:left="8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01">
    <w:name w:val="toc 7"/>
    <w:basedOn w:val="1104"/>
    <w:next w:val="1104"/>
    <w:uiPriority w:val="39"/>
    <w:pPr>
      <w:ind w:left="10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02">
    <w:name w:val="toc 8"/>
    <w:basedOn w:val="1104"/>
    <w:next w:val="1104"/>
    <w:uiPriority w:val="39"/>
    <w:pPr>
      <w:ind w:left="1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03">
    <w:name w:val="toc 9"/>
    <w:basedOn w:val="1104"/>
    <w:next w:val="1104"/>
    <w:uiPriority w:val="39"/>
    <w:pPr>
      <w:ind w:left="1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04" w:customStyle="1">
    <w:name w:val="Знак Знак Знак Знак Знак Знак"/>
    <w:basedOn w:val="1104"/>
    <w:pPr>
      <w:jc w:val="both"/>
      <w:spacing w:after="160"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405" w:customStyle="1">
    <w:name w:val="Знак Знак Знак Знак Знак Знак Знак Знак Знак Знак Знак Знак Знак Знак Знак Знак"/>
    <w:basedOn w:val="1104"/>
    <w:pPr>
      <w:jc w:val="right"/>
      <w:spacing w:after="160" w:line="240" w:lineRule="exact"/>
      <w:widowControl w:val="off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406" w:customStyle="1">
    <w:name w:val="Тезисы"/>
    <w:basedOn w:val="1104"/>
    <w:pPr>
      <w:jc w:val="both"/>
      <w:spacing w:before="120" w:after="120" w:line="240" w:lineRule="auto"/>
      <w:tabs>
        <w:tab w:val="left" w:pos="35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407" w:customStyle="1">
    <w:name w:val="Заголовок таблицы"/>
    <w:basedOn w:val="1104"/>
    <w:link w:val="1408"/>
    <w:pPr>
      <w:jc w:val="center"/>
      <w:keepLines/>
      <w:spacing w:before="120" w:after="120" w:line="240" w:lineRule="auto"/>
    </w:pPr>
    <w:rPr>
      <w:rFonts w:ascii="Arial" w:hAnsi="Arial" w:eastAsia="Times New Roman" w:cs="Times New Roman"/>
      <w:b/>
      <w:sz w:val="18"/>
      <w:szCs w:val="24"/>
      <w:lang w:eastAsia="ru-RU"/>
    </w:rPr>
  </w:style>
  <w:style w:type="character" w:styleId="1408" w:customStyle="1">
    <w:name w:val="Заголовок таблицы Знак"/>
    <w:link w:val="1407"/>
    <w:rPr>
      <w:rFonts w:ascii="Arial" w:hAnsi="Arial" w:eastAsia="Times New Roman" w:cs="Times New Roman"/>
      <w:b/>
      <w:sz w:val="18"/>
      <w:szCs w:val="24"/>
      <w:lang w:eastAsia="ru-RU"/>
    </w:rPr>
  </w:style>
  <w:style w:type="paragraph" w:styleId="1409" w:customStyle="1">
    <w:name w:val="Стиль1"/>
    <w:basedOn w:val="1105"/>
    <w:link w:val="1410"/>
    <w:qFormat/>
    <w:pPr>
      <w:numPr>
        <w:ilvl w:val="0"/>
        <w:numId w:val="43"/>
      </w:numPr>
      <w:jc w:val="both"/>
      <w:spacing w:after="0" w:line="240" w:lineRule="auto"/>
      <w:tabs>
        <w:tab w:val="left" w:pos="1276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410" w:customStyle="1">
    <w:name w:val="Стиль1 Знак"/>
    <w:basedOn w:val="1261"/>
    <w:link w:val="1409"/>
    <w:rPr>
      <w:rFonts w:ascii="Times New Roman" w:hAnsi="Times New Roman" w:eastAsia="Times New Roman" w:cs="Times New Roman"/>
      <w:b/>
      <w:bCs/>
      <w:color w:val="000000"/>
      <w:sz w:val="24"/>
      <w:szCs w:val="24"/>
      <w:lang w:val="en-US" w:eastAsia="ru-RU"/>
    </w:rPr>
  </w:style>
  <w:style w:type="paragraph" w:styleId="1411" w:customStyle="1">
    <w:name w:val="Текст2"/>
    <w:basedOn w:val="1104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412" w:customStyle="1">
    <w:name w:val="Основной текст_"/>
    <w:basedOn w:val="1114"/>
    <w:link w:val="141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13" w:customStyle="1">
    <w:name w:val="Основной текст1"/>
    <w:basedOn w:val="1104"/>
    <w:link w:val="1412"/>
    <w:pPr>
      <w:ind w:hanging="360"/>
      <w:spacing w:after="240" w:line="322" w:lineRule="exac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414" w:customStyle="1">
    <w:name w:val="Заголовок №2_"/>
    <w:basedOn w:val="1114"/>
    <w:link w:val="141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15" w:customStyle="1">
    <w:name w:val="Заголовок №2"/>
    <w:basedOn w:val="1104"/>
    <w:link w:val="1414"/>
    <w:pPr>
      <w:jc w:val="center"/>
      <w:spacing w:before="240" w:after="240" w:line="322" w:lineRule="exact"/>
      <w:shd w:val="clear" w:color="auto" w:fill="ffffff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styleId="1416" w:customStyle="1">
    <w:name w:val="Основной текст + Полужирный"/>
    <w:basedOn w:val="1412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1417" w:customStyle="1">
    <w:name w:val="Подпись к таблице_"/>
    <w:basedOn w:val="1114"/>
    <w:link w:val="1418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18" w:customStyle="1">
    <w:name w:val="Подпись к таблице"/>
    <w:basedOn w:val="1104"/>
    <w:link w:val="1417"/>
    <w:pPr>
      <w:spacing w:after="0" w:line="0" w:lineRule="atLeas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419" w:customStyle="1">
    <w:name w:val="Сноска_"/>
    <w:basedOn w:val="1114"/>
    <w:link w:val="142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styleId="1420" w:customStyle="1">
    <w:name w:val="Сноска"/>
    <w:basedOn w:val="1104"/>
    <w:link w:val="1419"/>
    <w:pPr>
      <w:spacing w:after="0" w:line="211" w:lineRule="exact"/>
      <w:shd w:val="clear" w:color="auto" w:fill="ffffff"/>
    </w:pPr>
    <w:rPr>
      <w:rFonts w:ascii="Times New Roman" w:hAnsi="Times New Roman" w:cs="Times New Roman"/>
      <w:spacing w:val="-2"/>
      <w:sz w:val="16"/>
      <w:szCs w:val="16"/>
    </w:rPr>
  </w:style>
  <w:style w:type="character" w:styleId="1421" w:customStyle="1">
    <w:name w:val="Заголовок №1_"/>
    <w:basedOn w:val="1114"/>
    <w:link w:val="1422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22" w:customStyle="1">
    <w:name w:val="Заголовок №1"/>
    <w:basedOn w:val="1104"/>
    <w:link w:val="1421"/>
    <w:pPr>
      <w:jc w:val="both"/>
      <w:spacing w:after="0" w:line="317" w:lineRule="exact"/>
      <w:shd w:val="clear" w:color="auto" w:fill="ffffff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styleId="1423" w:customStyle="1">
    <w:name w:val="Абзац списка1"/>
    <w:basedOn w:val="1104"/>
    <w:pPr>
      <w:ind w:left="720"/>
      <w:spacing w:after="0" w:line="240" w:lineRule="auto"/>
    </w:pPr>
    <w:rPr>
      <w:rFonts w:ascii="Arial" w:hAnsi="Arial" w:eastAsia="Lucida Sans Unicode" w:cs="Mangal"/>
      <w:sz w:val="20"/>
      <w:szCs w:val="24"/>
      <w:lang w:eastAsia="hi-IN" w:bidi="hi-IN"/>
    </w:rPr>
  </w:style>
  <w:style w:type="character" w:styleId="1424" w:customStyle="1">
    <w:name w:val="Font Style43"/>
    <w:basedOn w:val="1114"/>
    <w:uiPriority w:val="99"/>
    <w:rPr>
      <w:rFonts w:ascii="Times New Roman" w:hAnsi="Times New Roman" w:cs="Times New Roman"/>
      <w:sz w:val="24"/>
      <w:szCs w:val="24"/>
    </w:rPr>
  </w:style>
  <w:style w:type="character" w:styleId="1425">
    <w:name w:val="Placeholder Text"/>
    <w:basedOn w:val="1114"/>
    <w:uiPriority w:val="99"/>
    <w:semiHidden/>
    <w:rPr>
      <w:color w:val="808080"/>
    </w:rPr>
  </w:style>
  <w:style w:type="character" w:styleId="1426" w:customStyle="1">
    <w:name w:val="webofficeattributevalue"/>
    <w:basedOn w:val="1114"/>
  </w:style>
  <w:style w:type="character" w:styleId="1427" w:customStyle="1">
    <w:name w:val="Body text (2)_"/>
    <w:basedOn w:val="1114"/>
    <w:link w:val="142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1428" w:customStyle="1">
    <w:name w:val="Body text (2)"/>
    <w:basedOn w:val="1104"/>
    <w:link w:val="1427"/>
    <w:pPr>
      <w:jc w:val="both"/>
      <w:spacing w:after="0" w:line="317" w:lineRule="exact"/>
      <w:shd w:val="clear" w:color="auto" w:fill="ffffff"/>
      <w:widowControl w:val="off"/>
    </w:pPr>
    <w:rPr>
      <w:rFonts w:ascii="Times New Roman" w:hAnsi="Times New Roman" w:cs="Times New Roman"/>
      <w:sz w:val="28"/>
      <w:szCs w:val="28"/>
    </w:rPr>
  </w:style>
  <w:style w:type="character" w:styleId="1429">
    <w:name w:val="FollowedHyperlink"/>
    <w:basedOn w:val="1114"/>
    <w:unhideWhenUsed/>
    <w:rPr>
      <w:color w:val="800080"/>
      <w:u w:val="single"/>
    </w:rPr>
  </w:style>
  <w:style w:type="paragraph" w:styleId="1430" w:customStyle="1">
    <w:name w:val="xl65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1" w:customStyle="1">
    <w:name w:val="xl66"/>
    <w:basedOn w:val="1104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2" w:customStyle="1">
    <w:name w:val="xl67"/>
    <w:basedOn w:val="1104"/>
    <w:pPr>
      <w:jc w:val="both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3" w:customStyle="1">
    <w:name w:val="xl68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4" w:customStyle="1">
    <w:name w:val="xl69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5" w:customStyle="1">
    <w:name w:val="xl70"/>
    <w:basedOn w:val="1104"/>
    <w:pPr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6" w:customStyle="1">
    <w:name w:val="xl71"/>
    <w:basedOn w:val="1104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7" w:customStyle="1">
    <w:name w:val="xl72"/>
    <w:basedOn w:val="1104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8" w:customStyle="1">
    <w:name w:val="xl73"/>
    <w:basedOn w:val="1104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9" w:customStyle="1">
    <w:name w:val="xl74"/>
    <w:basedOn w:val="1104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0" w:customStyle="1">
    <w:name w:val="xl75"/>
    <w:basedOn w:val="1104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1" w:customStyle="1">
    <w:name w:val="xl76"/>
    <w:basedOn w:val="1104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2" w:customStyle="1">
    <w:name w:val="xl77"/>
    <w:basedOn w:val="1104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3" w:customStyle="1">
    <w:name w:val="xl78"/>
    <w:basedOn w:val="1104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1444" w:customStyle="1">
    <w:name w:val="xl79"/>
    <w:basedOn w:val="1104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45" w:customStyle="1">
    <w:name w:val="xl80"/>
    <w:basedOn w:val="1104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6" w:customStyle="1">
    <w:name w:val="xl81"/>
    <w:basedOn w:val="1104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7" w:customStyle="1">
    <w:name w:val="xl82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8" w:customStyle="1">
    <w:name w:val="xl83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9" w:customStyle="1">
    <w:name w:val="xl84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0" w:customStyle="1">
    <w:name w:val="xl85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1" w:customStyle="1">
    <w:name w:val="xl86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2" w:customStyle="1">
    <w:name w:val="xl87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3" w:customStyle="1">
    <w:name w:val="xl88"/>
    <w:basedOn w:val="1104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4" w:customStyle="1">
    <w:name w:val="xl89"/>
    <w:basedOn w:val="1104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5" w:customStyle="1">
    <w:name w:val="xl90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6" w:customStyle="1">
    <w:name w:val="xl91"/>
    <w:basedOn w:val="1104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457" w:customStyle="1">
    <w:name w:val="defaultlabelstyle3"/>
    <w:basedOn w:val="1114"/>
    <w:rPr>
      <w:rFonts w:hint="default" w:ascii="open-sans" w:hAnsi="open-sans"/>
      <w:b w:val="0"/>
      <w:bCs w:val="0"/>
      <w:color w:val="333333"/>
      <w:sz w:val="20"/>
      <w:szCs w:val="20"/>
    </w:rPr>
  </w:style>
  <w:style w:type="character" w:styleId="1458" w:customStyle="1">
    <w:name w:val="Heading 1 Char"/>
    <w:rPr>
      <w:rFonts w:ascii="Cambria" w:hAnsi="Cambria" w:cs="Times New Roman"/>
      <w:b/>
      <w:bCs/>
      <w:sz w:val="32"/>
      <w:szCs w:val="32"/>
    </w:rPr>
  </w:style>
  <w:style w:type="character" w:styleId="1459" w:customStyle="1">
    <w:name w:val="Текст выноски Знак1"/>
    <w:basedOn w:val="1114"/>
    <w:uiPriority w:val="99"/>
    <w:semiHidden/>
    <w:rPr>
      <w:rFonts w:ascii="Tahoma" w:hAnsi="Tahoma" w:cs="Tahoma"/>
      <w:sz w:val="16"/>
      <w:szCs w:val="16"/>
    </w:rPr>
  </w:style>
  <w:style w:type="character" w:styleId="1460" w:customStyle="1">
    <w:name w:val="Title Char"/>
    <w:rPr>
      <w:rFonts w:ascii="Cambria" w:hAnsi="Cambria" w:cs="Times New Roman"/>
      <w:b/>
      <w:bCs/>
      <w:sz w:val="32"/>
      <w:szCs w:val="32"/>
    </w:rPr>
  </w:style>
  <w:style w:type="character" w:styleId="1461" w:customStyle="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styleId="1462" w:customStyle="1">
    <w:name w:val="Абзац списка5"/>
    <w:basedOn w:val="1104"/>
    <w:uiPriority w:val="34"/>
    <w:qFormat/>
    <w:pPr>
      <w:ind w:left="720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463" w:customStyle="1">
    <w:name w:val="Текст примечания Знак1"/>
    <w:basedOn w:val="1114"/>
    <w:uiPriority w:val="99"/>
    <w:semiHidden/>
    <w:rPr>
      <w:rFonts w:ascii="Arial" w:hAnsi="Arial" w:cs="Arial"/>
    </w:rPr>
  </w:style>
  <w:style w:type="character" w:styleId="1464" w:customStyle="1">
    <w:name w:val="Ариал Знак1"/>
    <w:link w:val="1283"/>
    <w:rPr>
      <w:rFonts w:ascii="Arial" w:hAnsi="Arial" w:eastAsia="Arial" w:cs="Arial"/>
      <w:color w:val="000000"/>
      <w:sz w:val="24"/>
      <w:szCs w:val="24"/>
      <w:lang w:eastAsia="ru-RU"/>
    </w:rPr>
  </w:style>
  <w:style w:type="character" w:styleId="1465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styleId="1466" w:customStyle="1">
    <w:name w:val="Header Char"/>
    <w:semiHidden/>
    <w:rPr>
      <w:rFonts w:ascii="Arial" w:hAnsi="Arial" w:cs="Arial"/>
      <w:sz w:val="20"/>
      <w:szCs w:val="20"/>
    </w:rPr>
  </w:style>
  <w:style w:type="paragraph" w:styleId="1467" w:customStyle="1">
    <w:name w:val="Без интервала1"/>
    <w:pPr>
      <w:spacing w:after="0" w:line="240" w:lineRule="auto"/>
    </w:pPr>
    <w:rPr>
      <w:rFonts w:ascii="Calibri" w:hAnsi="Calibri" w:eastAsia="Calibri" w:cs="Times New Roman"/>
    </w:rPr>
  </w:style>
  <w:style w:type="character" w:styleId="1468" w:customStyle="1">
    <w:name w:val="Тема примечания Знак1"/>
    <w:basedOn w:val="1463"/>
    <w:uiPriority w:val="99"/>
    <w:semiHidden/>
    <w:rPr>
      <w:rFonts w:ascii="Arial" w:hAnsi="Arial" w:cs="Arial"/>
      <w:b/>
      <w:bCs/>
    </w:rPr>
  </w:style>
  <w:style w:type="character" w:styleId="1469" w:customStyle="1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styleId="1470" w:customStyle="1">
    <w:name w:val="Body Text Indent 3 Char"/>
    <w:semiHidden/>
    <w:rPr>
      <w:rFonts w:ascii="Arial" w:hAnsi="Arial" w:cs="Arial"/>
      <w:sz w:val="16"/>
      <w:szCs w:val="16"/>
    </w:rPr>
  </w:style>
  <w:style w:type="character" w:styleId="1471" w:customStyle="1">
    <w:name w:val="Body Text Char"/>
    <w:semiHidden/>
    <w:rPr>
      <w:rFonts w:ascii="Arial" w:hAnsi="Arial" w:cs="Arial"/>
      <w:sz w:val="20"/>
      <w:szCs w:val="20"/>
    </w:rPr>
  </w:style>
  <w:style w:type="character" w:styleId="1472" w:customStyle="1">
    <w:name w:val="Основной текст 3 Знак1"/>
    <w:rPr>
      <w:rFonts w:ascii="Times New Roman" w:hAnsi="Times New Roman" w:eastAsia="Times New Roman" w:cs="Times New Roman"/>
      <w:sz w:val="16"/>
      <w:szCs w:val="16"/>
    </w:rPr>
  </w:style>
  <w:style w:type="character" w:styleId="1473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"/>
    <w:rPr>
      <w:sz w:val="24"/>
      <w:szCs w:val="24"/>
      <w:lang w:val="ru-RU" w:eastAsia="ru-RU" w:bidi="ar-SA"/>
    </w:rPr>
  </w:style>
  <w:style w:type="character" w:styleId="1474" w:customStyle="1">
    <w:name w:val="2 Знак"/>
    <w:rPr>
      <w:b/>
      <w:bCs/>
      <w:sz w:val="32"/>
      <w:szCs w:val="32"/>
      <w:lang w:val="ru-RU" w:eastAsia="ru-RU" w:bidi="ar-SA"/>
    </w:rPr>
  </w:style>
  <w:style w:type="character" w:styleId="1475" w:customStyle="1">
    <w:name w:val="текст Знак Знак"/>
    <w:rPr>
      <w:sz w:val="28"/>
      <w:szCs w:val="28"/>
      <w:lang w:val="ru-RU" w:eastAsia="ru-RU" w:bidi="ar-SA"/>
    </w:rPr>
  </w:style>
  <w:style w:type="character" w:styleId="1476" w:customStyle="1">
    <w:name w:val="комментарий"/>
    <w:rPr>
      <w:b/>
      <w:bCs/>
      <w:i/>
      <w:iCs/>
      <w:shd w:val="clear" w:color="auto" w:fill="ffff99"/>
    </w:rPr>
  </w:style>
  <w:style w:type="paragraph" w:styleId="1477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78" w:customStyle="1">
    <w:name w:val="Íîðìàëüíûé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ru-RU"/>
    </w:rPr>
  </w:style>
  <w:style w:type="paragraph" w:styleId="1479" w:customStyle="1">
    <w:name w:val="Т"/>
    <w:basedOn w:val="1104"/>
    <w:link w:val="1480"/>
    <w:uiPriority w:val="99"/>
    <w:pPr>
      <w:ind w:firstLine="709"/>
      <w:jc w:val="both"/>
      <w:spacing w:after="0" w:line="240" w:lineRule="auto"/>
      <w:widowControl w:val="off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480" w:customStyle="1">
    <w:name w:val="Т Знак"/>
    <w:link w:val="1479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81" w:customStyle="1">
    <w:name w:val="Знак Знак Знак1"/>
    <w:basedOn w:val="1104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82">
    <w:name w:val="Caption"/>
    <w:basedOn w:val="1104"/>
    <w:next w:val="1104"/>
    <w:uiPriority w:val="99"/>
    <w:qFormat/>
    <w:pPr>
      <w:spacing w:before="360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3" w:customStyle="1">
    <w:name w:val="font6"/>
    <w:basedOn w:val="1104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paragraph" w:styleId="1484" w:customStyle="1">
    <w:name w:val="Таблицы (моноширинный)"/>
    <w:basedOn w:val="1104"/>
    <w:next w:val="1104"/>
    <w:pPr>
      <w:jc w:val="both"/>
      <w:spacing w:after="0" w:line="240" w:lineRule="auto"/>
    </w:pPr>
    <w:rPr>
      <w:rFonts w:ascii="Courier New" w:hAnsi="Courier New" w:eastAsia="Times New Roman" w:cs="Courier New"/>
      <w:sz w:val="32"/>
      <w:szCs w:val="32"/>
      <w:lang w:eastAsia="ru-RU"/>
    </w:rPr>
  </w:style>
  <w:style w:type="character" w:styleId="1485" w:customStyle="1">
    <w:name w:val="Цветовое выделение"/>
    <w:rPr>
      <w:b/>
      <w:bCs/>
      <w:color w:val="000080"/>
      <w:sz w:val="28"/>
      <w:szCs w:val="28"/>
    </w:rPr>
  </w:style>
  <w:style w:type="paragraph" w:styleId="1486" w:customStyle="1">
    <w:name w:val="Прижатый влево"/>
    <w:basedOn w:val="1104"/>
    <w:next w:val="1104"/>
    <w:pPr>
      <w:spacing w:after="0" w:line="240" w:lineRule="auto"/>
    </w:pPr>
    <w:rPr>
      <w:rFonts w:ascii="Arial" w:hAnsi="Arial" w:eastAsia="Times New Roman" w:cs="Times New Roman"/>
      <w:sz w:val="28"/>
      <w:szCs w:val="28"/>
      <w:lang w:eastAsia="ru-RU"/>
    </w:rPr>
  </w:style>
  <w:style w:type="character" w:styleId="1487" w:customStyle="1">
    <w:name w:val="Гипертекстовая ссылка"/>
    <w:rPr>
      <w:b/>
      <w:bCs/>
      <w:color w:val="008000"/>
      <w:sz w:val="28"/>
      <w:szCs w:val="28"/>
    </w:rPr>
  </w:style>
  <w:style w:type="character" w:styleId="1488" w:customStyle="1">
    <w:name w:val="Стандартный HTML Знак1"/>
    <w:basedOn w:val="1114"/>
    <w:uiPriority w:val="99"/>
    <w:semiHidden/>
    <w:rPr>
      <w:rFonts w:ascii="Consolas" w:hAnsi="Consolas" w:cs="Consolas"/>
    </w:rPr>
  </w:style>
  <w:style w:type="character" w:styleId="1489" w:customStyle="1">
    <w:name w:val="RTF_Num 2 1"/>
    <w:rPr>
      <w:rFonts w:ascii="Symbol" w:hAnsi="Symbol"/>
    </w:rPr>
  </w:style>
  <w:style w:type="character" w:styleId="1490" w:customStyle="1">
    <w:name w:val="бычный Знак"/>
    <w:link w:val="1323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491" w:customStyle="1">
    <w:name w:val="Заголовок 3 Знак1"/>
    <w:uiPriority w:val="9"/>
    <w:semiHidden/>
    <w:rPr>
      <w:rFonts w:ascii="Cambria" w:hAnsi="Cambria" w:eastAsia="Times New Roman" w:cs="Times New Roman"/>
      <w:b/>
      <w:bCs/>
      <w:color w:val="4f81bd"/>
    </w:rPr>
  </w:style>
  <w:style w:type="character" w:styleId="1492" w:customStyle="1">
    <w:name w:val="Заголовок 5 Знак1"/>
    <w:semiHidden/>
    <w:rPr>
      <w:rFonts w:ascii="Cambria" w:hAnsi="Cambria" w:eastAsia="Times New Roman" w:cs="Times New Roman"/>
      <w:color w:val="243f60"/>
    </w:rPr>
  </w:style>
  <w:style w:type="character" w:styleId="1493" w:customStyle="1">
    <w:name w:val="Заголовок 6 Знак1"/>
    <w:semiHidden/>
    <w:rPr>
      <w:rFonts w:ascii="Cambria" w:hAnsi="Cambria" w:eastAsia="Times New Roman" w:cs="Times New Roman"/>
      <w:i/>
      <w:iCs/>
      <w:color w:val="243f60"/>
    </w:rPr>
  </w:style>
  <w:style w:type="character" w:styleId="1494" w:customStyle="1">
    <w:name w:val="Заголовок 7 Знак1"/>
    <w:semiHidden/>
    <w:rPr>
      <w:rFonts w:ascii="Cambria" w:hAnsi="Cambria" w:eastAsia="Times New Roman" w:cs="Times New Roman"/>
      <w:i/>
      <w:iCs/>
      <w:color w:val="404040"/>
    </w:rPr>
  </w:style>
  <w:style w:type="character" w:styleId="1495" w:customStyle="1">
    <w:name w:val="Основной текст с отступом Знак1"/>
    <w:semiHidden/>
    <w:rPr>
      <w:rFonts w:ascii="Arial" w:hAnsi="Arial" w:cs="Arial"/>
    </w:rPr>
  </w:style>
  <w:style w:type="paragraph" w:styleId="1496" w:customStyle="1">
    <w:name w:val="Без интервала12"/>
    <w:pPr>
      <w:spacing w:after="0" w:line="240" w:lineRule="auto"/>
    </w:pPr>
    <w:rPr>
      <w:rFonts w:ascii="Calibri" w:hAnsi="Calibri" w:eastAsia="Calibri" w:cs="Times New Roman"/>
    </w:rPr>
  </w:style>
  <w:style w:type="paragraph" w:styleId="1497" w:customStyle="1">
    <w:name w:val="Рецензия1"/>
    <w:hidden/>
    <w:uiPriority w:val="99"/>
    <w:semiHidden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paragraph" w:styleId="1498">
    <w:name w:val="List Bullet"/>
    <w:basedOn w:val="1104"/>
    <w:unhideWhenUsed/>
    <w:pPr>
      <w:ind w:left="360" w:hanging="36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9">
    <w:name w:val="List Bullet 3"/>
    <w:basedOn w:val="1104"/>
    <w:unhideWhenUsed/>
    <w:pPr>
      <w:numPr>
        <w:ilvl w:val="0"/>
        <w:numId w:val="45"/>
      </w:numPr>
      <w:ind w:left="1620" w:hanging="360"/>
      <w:jc w:val="both"/>
      <w:spacing w:after="0" w:line="240" w:lineRule="auto"/>
      <w:tabs>
        <w:tab w:val="num" w:pos="16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00" w:customStyle="1">
    <w:name w:val="Подподпункт"/>
    <w:basedOn w:val="1104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1501" w:customStyle="1">
    <w:name w:val="Абзац списка3"/>
    <w:basedOn w:val="1104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2" w:customStyle="1">
    <w:name w:val="_Маркер (номер) - без заголовка"/>
    <w:basedOn w:val="1104"/>
    <w:pPr>
      <w:ind w:left="1304" w:hanging="595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03" w:customStyle="1">
    <w:name w:val="CM4"/>
    <w:basedOn w:val="1104"/>
    <w:next w:val="1104"/>
    <w:pPr>
      <w:spacing w:after="0" w:line="246" w:lineRule="atLeast"/>
      <w:widowControl w:val="off"/>
    </w:pPr>
    <w:rPr>
      <w:rFonts w:ascii="HiddenHorzOCl" w:hAnsi="HiddenHorzOCl" w:eastAsia="Calibri" w:cs="Times New Roman"/>
      <w:sz w:val="24"/>
      <w:szCs w:val="24"/>
      <w:lang w:eastAsia="ar-SA"/>
    </w:rPr>
  </w:style>
  <w:style w:type="paragraph" w:styleId="1504" w:customStyle="1">
    <w:name w:val="xl48"/>
    <w:basedOn w:val="1104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05" w:customStyle="1">
    <w:name w:val="Пункт"/>
    <w:basedOn w:val="1104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06" w:customStyle="1">
    <w:name w:val="Подпункт"/>
    <w:basedOn w:val="1505"/>
    <w:pPr>
      <w:ind w:left="864" w:hanging="864"/>
      <w:tabs>
        <w:tab w:val="clear" w:pos="720" w:leader="none"/>
        <w:tab w:val="num" w:pos="864" w:leader="none"/>
      </w:tabs>
    </w:pPr>
  </w:style>
  <w:style w:type="paragraph" w:styleId="1507" w:customStyle="1">
    <w:name w:val="пункт-4"/>
    <w:basedOn w:val="1104"/>
    <w:pPr>
      <w:numPr>
        <w:ilvl w:val="3"/>
        <w:numId w:val="46"/>
      </w:numPr>
      <w:ind w:left="1418" w:hanging="1418"/>
      <w:jc w:val="both"/>
      <w:spacing w:after="0" w:line="360" w:lineRule="auto"/>
      <w:tabs>
        <w:tab w:val="num" w:pos="1418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8" w:customStyle="1">
    <w:name w:val="lev2"/>
    <w:basedOn w:val="1300"/>
    <w:pPr>
      <w:numPr>
        <w:ilvl w:val="1"/>
        <w:numId w:val="44"/>
      </w:numPr>
      <w:jc w:val="both"/>
      <w:spacing w:after="0"/>
      <w:widowControl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Arial"/>
      <w:sz w:val="24"/>
      <w:szCs w:val="24"/>
    </w:rPr>
  </w:style>
  <w:style w:type="paragraph" w:styleId="1509" w:customStyle="1">
    <w:name w:val="Контракт-пункт"/>
    <w:basedOn w:val="1104"/>
    <w:pPr>
      <w:ind w:left="576" w:hanging="576"/>
      <w:jc w:val="both"/>
      <w:spacing w:after="0" w:line="360" w:lineRule="auto"/>
      <w:tabs>
        <w:tab w:val="num" w:pos="576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0" w:customStyle="1">
    <w:name w:val="Контракт-подпункт"/>
    <w:basedOn w:val="1104"/>
    <w:pPr>
      <w:ind w:left="720" w:hanging="720"/>
      <w:jc w:val="both"/>
      <w:spacing w:after="0" w:line="360" w:lineRule="auto"/>
      <w:tabs>
        <w:tab w:val="num" w:pos="720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1" w:customStyle="1">
    <w:name w:val="font5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12" w:customStyle="1">
    <w:name w:val="font7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16"/>
      <w:szCs w:val="16"/>
      <w:lang w:eastAsia="ru-RU"/>
    </w:rPr>
  </w:style>
  <w:style w:type="paragraph" w:styleId="1513" w:customStyle="1">
    <w:name w:val="font8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514" w:customStyle="1">
    <w:name w:val="font9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i/>
      <w:iCs/>
      <w:sz w:val="28"/>
      <w:szCs w:val="28"/>
      <w:lang w:eastAsia="ru-RU"/>
    </w:rPr>
  </w:style>
  <w:style w:type="paragraph" w:styleId="1515" w:customStyle="1">
    <w:name w:val="xl23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16" w:customStyle="1">
    <w:name w:val="xl24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17" w:customStyle="1">
    <w:name w:val="xl25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18" w:customStyle="1">
    <w:name w:val="xl26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19" w:customStyle="1">
    <w:name w:val="xl27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20" w:customStyle="1">
    <w:name w:val="xl29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1" w:customStyle="1">
    <w:name w:val="xl31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i/>
      <w:iCs/>
      <w:sz w:val="16"/>
      <w:szCs w:val="16"/>
      <w:lang w:eastAsia="ru-RU"/>
    </w:rPr>
  </w:style>
  <w:style w:type="paragraph" w:styleId="1522" w:customStyle="1">
    <w:name w:val="xl32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523" w:customStyle="1">
    <w:name w:val="xl33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4" w:customStyle="1">
    <w:name w:val="xl34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5" w:customStyle="1">
    <w:name w:val="xl35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6" w:customStyle="1">
    <w:name w:val="xl36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7" w:customStyle="1">
    <w:name w:val="xl37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8" w:customStyle="1">
    <w:name w:val="xl38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29" w:customStyle="1">
    <w:name w:val="xl39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0" w:customStyle="1">
    <w:name w:val="xl40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1" w:customStyle="1">
    <w:name w:val="xl41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2" w:customStyle="1">
    <w:name w:val="xl42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3" w:customStyle="1">
    <w:name w:val="xl43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34" w:customStyle="1">
    <w:name w:val="xl44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35" w:customStyle="1">
    <w:name w:val="xl45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36" w:customStyle="1">
    <w:name w:val="xl46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37" w:customStyle="1">
    <w:name w:val="xl47"/>
    <w:basedOn w:val="1104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38" w:customStyle="1">
    <w:name w:val="xl49"/>
    <w:basedOn w:val="1104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39" w:customStyle="1">
    <w:name w:val="xl50"/>
    <w:basedOn w:val="1104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0" w:customStyle="1">
    <w:name w:val="xl51"/>
    <w:basedOn w:val="1104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41" w:customStyle="1">
    <w:name w:val="xl52"/>
    <w:basedOn w:val="1104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i/>
      <w:iCs/>
      <w:color w:val="0000ff"/>
      <w:sz w:val="16"/>
      <w:szCs w:val="16"/>
      <w:lang w:eastAsia="ru-RU"/>
    </w:rPr>
  </w:style>
  <w:style w:type="paragraph" w:styleId="1542" w:customStyle="1">
    <w:name w:val="xl53"/>
    <w:basedOn w:val="1104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3" w:customStyle="1">
    <w:name w:val="xl54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44" w:customStyle="1">
    <w:name w:val="xl55"/>
    <w:basedOn w:val="1104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45" w:customStyle="1">
    <w:name w:val="xl56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46" w:customStyle="1">
    <w:name w:val="xl57"/>
    <w:basedOn w:val="1104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7" w:customStyle="1">
    <w:name w:val="xl58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8" w:customStyle="1">
    <w:name w:val="xl59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49" w:customStyle="1">
    <w:name w:val="xl60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0" w:customStyle="1">
    <w:name w:val="xl61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1" w:customStyle="1">
    <w:name w:val="xl62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2" w:customStyle="1">
    <w:name w:val="xl63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3" w:customStyle="1">
    <w:name w:val="xl64"/>
    <w:basedOn w:val="1104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4" w:customStyle="1">
    <w:name w:val="xl92"/>
    <w:basedOn w:val="1104"/>
    <w:pPr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55" w:customStyle="1">
    <w:name w:val="xl93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56" w:customStyle="1">
    <w:name w:val="xl94"/>
    <w:basedOn w:val="1104"/>
    <w:pPr>
      <w:jc w:val="center"/>
      <w:spacing w:before="100" w:beforeAutospacing="1" w:after="100" w:afterAutospacing="1" w:line="240" w:lineRule="auto"/>
      <w:pBdr>
        <w:bottom w:val="single" w:color="000000" w:sz="8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57" w:customStyle="1">
    <w:name w:val="xl95"/>
    <w:basedOn w:val="1104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58" w:customStyle="1">
    <w:name w:val="3 Знак"/>
    <w:basedOn w:val="1104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59" w:customStyle="1">
    <w:name w:val="a"/>
    <w:basedOn w:val="1104"/>
    <w:pPr>
      <w:ind w:left="1701" w:hanging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560" w:customStyle="1">
    <w:name w:val="short_text"/>
    <w:basedOn w:val="1114"/>
  </w:style>
  <w:style w:type="paragraph" w:styleId="1561" w:customStyle="1">
    <w:name w:val="Noeeu14"/>
    <w:basedOn w:val="1104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62" w:customStyle="1">
    <w:name w:val="Знак1"/>
    <w:basedOn w:val="1104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563" w:customStyle="1">
    <w:name w:val="Знак Знак8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564" w:customStyle="1">
    <w:name w:val="Знак Знак7"/>
    <w:rPr>
      <w:rFonts w:ascii="Arial" w:hAnsi="Arial" w:eastAsia="Times New Roman" w:cs="Arial"/>
      <w:sz w:val="16"/>
      <w:szCs w:val="16"/>
      <w:lang w:eastAsia="ru-RU"/>
    </w:rPr>
  </w:style>
  <w:style w:type="character" w:styleId="1565" w:customStyle="1">
    <w:name w:val="Знак Знак5"/>
    <w:rPr>
      <w:rFonts w:ascii="Arial" w:hAnsi="Arial" w:eastAsia="Times New Roman" w:cs="Arial"/>
      <w:sz w:val="20"/>
      <w:szCs w:val="20"/>
      <w:lang w:eastAsia="ru-RU"/>
    </w:rPr>
  </w:style>
  <w:style w:type="character" w:styleId="1566" w:customStyle="1">
    <w:name w:val="Знак Знак4"/>
    <w:rPr>
      <w:rFonts w:ascii="Arial" w:hAnsi="Arial" w:eastAsia="Times New Roman" w:cs="Arial"/>
      <w:sz w:val="20"/>
      <w:szCs w:val="20"/>
      <w:lang w:eastAsia="ru-RU"/>
    </w:rPr>
  </w:style>
  <w:style w:type="character" w:styleId="1567" w:customStyle="1">
    <w:name w:val="Знак Знак3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68" w:customStyle="1">
    <w:name w:val="Знак Знак2"/>
    <w:rPr>
      <w:rFonts w:ascii="Consolas" w:hAnsi="Consolas" w:eastAsia="Times New Roman" w:cs="Times New Roman"/>
      <w:sz w:val="21"/>
      <w:szCs w:val="21"/>
    </w:rPr>
  </w:style>
  <w:style w:type="paragraph" w:styleId="1569" w:customStyle="1">
    <w:name w:val="Без интервала3"/>
    <w:uiPriority w:val="99"/>
    <w:qFormat/>
    <w:pPr>
      <w:spacing w:after="0" w:line="240" w:lineRule="auto"/>
    </w:pPr>
    <w:rPr>
      <w:rFonts w:ascii="Calibri" w:hAnsi="Calibri" w:eastAsia="Times New Roman" w:cs="Times New Roman"/>
    </w:rPr>
  </w:style>
  <w:style w:type="character" w:styleId="1570" w:customStyle="1">
    <w:name w:val="rvts12"/>
    <w:rPr>
      <w:rFonts w:hint="default" w:ascii="Verdana" w:hAnsi="Verdana"/>
      <w:sz w:val="18"/>
      <w:szCs w:val="18"/>
    </w:rPr>
  </w:style>
  <w:style w:type="character" w:styleId="1571" w:customStyle="1">
    <w:name w:val="Comment Text Char"/>
    <w:semiHidden/>
    <w:rPr>
      <w:rFonts w:eastAsia="Times New Roman"/>
      <w:sz w:val="20"/>
      <w:lang w:eastAsia="ru-RU"/>
    </w:rPr>
  </w:style>
  <w:style w:type="paragraph" w:styleId="1572" w:customStyle="1">
    <w:name w:val="Без интервала2"/>
    <w:pPr>
      <w:spacing w:after="0" w:line="240" w:lineRule="auto"/>
    </w:pPr>
    <w:rPr>
      <w:rFonts w:ascii="Calibri" w:hAnsi="Calibri" w:eastAsia="Calibri" w:cs="Times New Roman"/>
    </w:rPr>
  </w:style>
  <w:style w:type="paragraph" w:styleId="1573" w:customStyle="1">
    <w:name w:val="Абзац списка4"/>
    <w:basedOn w:val="1104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74" w:customStyle="1">
    <w:name w:val="Без интервала11"/>
    <w:pPr>
      <w:spacing w:after="0" w:line="240" w:lineRule="auto"/>
    </w:pPr>
    <w:rPr>
      <w:rFonts w:ascii="Calibri" w:hAnsi="Calibri" w:eastAsia="Calibri" w:cs="Times New Roman"/>
    </w:rPr>
  </w:style>
  <w:style w:type="paragraph" w:styleId="1575" w:customStyle="1">
    <w:name w:val="Text"/>
    <w:basedOn w:val="1104"/>
    <w:uiPriority w:val="99"/>
    <w:pPr>
      <w:spacing w:after="240" w:line="240" w:lineRule="auto"/>
    </w:pPr>
    <w:rPr>
      <w:rFonts w:ascii="Times New Roman" w:hAnsi="Times New Roman" w:eastAsia="Calibri" w:cs="Times New Roman"/>
      <w:sz w:val="24"/>
      <w:szCs w:val="20"/>
      <w:lang w:val="en-US"/>
    </w:rPr>
  </w:style>
  <w:style w:type="paragraph" w:styleId="1576" w:customStyle="1">
    <w:name w:val="text"/>
    <w:basedOn w:val="1104"/>
    <w:pPr>
      <w:spacing w:after="24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577" w:customStyle="1">
    <w:name w:val="Основной текст таблиц Знак1"/>
    <w:rPr>
      <w:rFonts w:ascii="Arial" w:hAnsi="Arial" w:eastAsia="Calibri" w:cs="Times New Roman"/>
      <w:sz w:val="20"/>
      <w:szCs w:val="20"/>
      <w:lang w:eastAsia="ru-RU"/>
    </w:rPr>
  </w:style>
  <w:style w:type="character" w:styleId="1578" w:customStyle="1">
    <w:name w:val="Основной текст 2 Знак1"/>
    <w:uiPriority w:val="99"/>
    <w:semiHidden/>
    <w:rPr>
      <w:rFonts w:ascii="Arial" w:hAnsi="Arial"/>
    </w:rPr>
  </w:style>
  <w:style w:type="character" w:styleId="1579" w:customStyle="1">
    <w:name w:val="П.1 Char"/>
    <w:link w:val="1580"/>
    <w:rPr>
      <w:bCs/>
      <w:sz w:val="24"/>
      <w:szCs w:val="24"/>
      <w:lang w:eastAsia="ru-RU"/>
    </w:rPr>
  </w:style>
  <w:style w:type="paragraph" w:styleId="1580" w:customStyle="1">
    <w:name w:val="П.1"/>
    <w:basedOn w:val="1270"/>
    <w:link w:val="1579"/>
    <w:qFormat/>
    <w:pPr>
      <w:numPr>
        <w:ilvl w:val="1"/>
        <w:numId w:val="47"/>
      </w:numPr>
      <w:jc w:val="both"/>
      <w:widowControl/>
      <w:tabs>
        <w:tab w:val="left" w:pos="1701" w:leader="none"/>
      </w:tabs>
    </w:pPr>
    <w:rPr>
      <w:rFonts w:asciiTheme="minorHAnsi" w:hAnsiTheme="minorHAnsi" w:eastAsiaTheme="minorHAnsi" w:cstheme="minorBidi"/>
      <w:bCs/>
      <w:sz w:val="24"/>
      <w:szCs w:val="24"/>
    </w:rPr>
  </w:style>
  <w:style w:type="character" w:styleId="1581" w:customStyle="1">
    <w:name w:val="П.1.1 Char"/>
    <w:link w:val="1582"/>
    <w:rPr>
      <w:bCs/>
      <w:sz w:val="24"/>
      <w:szCs w:val="24"/>
      <w:lang w:eastAsia="ru-RU"/>
    </w:rPr>
  </w:style>
  <w:style w:type="paragraph" w:styleId="1582" w:customStyle="1">
    <w:name w:val="П.1.1"/>
    <w:basedOn w:val="1580"/>
    <w:link w:val="1581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583" w:customStyle="1">
    <w:name w:val="П.1.1.1"/>
    <w:basedOn w:val="1580"/>
    <w:qFormat/>
    <w:pPr>
      <w:numPr>
        <w:ilvl w:val="3"/>
      </w:numPr>
      <w:ind w:left="2880" w:hanging="360"/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584" w:customStyle="1">
    <w:name w:val="П.1.1.1.1"/>
    <w:basedOn w:val="1580"/>
    <w:next w:val="1104"/>
    <w:qFormat/>
    <w:pPr>
      <w:numPr>
        <w:ilvl w:val="4"/>
      </w:numPr>
      <w:ind w:left="360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85" w:customStyle="1">
    <w:name w:val="П.1.1.1.1.1"/>
    <w:basedOn w:val="1580"/>
    <w:next w:val="1584"/>
    <w:qFormat/>
    <w:pPr>
      <w:numPr>
        <w:ilvl w:val="5"/>
      </w:numPr>
      <w:ind w:left="432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86" w:customStyle="1">
    <w:name w:val="П.глава"/>
    <w:basedOn w:val="1270"/>
    <w:next w:val="1580"/>
    <w:qFormat/>
    <w:pPr>
      <w:numPr>
        <w:ilvl w:val="0"/>
        <w:numId w:val="47"/>
      </w:numPr>
      <w:ind w:right="-6"/>
      <w:jc w:val="center"/>
      <w:keepNext/>
      <w:spacing w:before="240" w:after="240"/>
      <w:widowControl/>
      <w:tabs>
        <w:tab w:val="left" w:pos="1701" w:leader="none"/>
      </w:tabs>
    </w:pPr>
    <w:rPr>
      <w:rFonts w:ascii="Calibri" w:hAnsi="Calibri" w:eastAsia="Calibri" w:cs="Times New Roman"/>
      <w:b/>
      <w:bCs/>
      <w:sz w:val="24"/>
      <w:szCs w:val="24"/>
    </w:rPr>
  </w:style>
  <w:style w:type="paragraph" w:styleId="1587" w:customStyle="1">
    <w:name w:val="msonormal"/>
    <w:basedOn w:val="1104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character" w:styleId="1588" w:customStyle="1">
    <w:name w:val="Без интервала Знак"/>
    <w:link w:val="1388"/>
    <w:uiPriority w:val="1"/>
    <w:rPr>
      <w:rFonts w:ascii="Calibri" w:hAnsi="Calibri" w:eastAsia="Calibri" w:cs="Times New Roman"/>
    </w:rPr>
  </w:style>
  <w:style w:type="paragraph" w:styleId="1589">
    <w:name w:val="endnote text"/>
    <w:basedOn w:val="1104"/>
    <w:link w:val="159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590" w:customStyle="1">
    <w:name w:val="Текст концевой сноски Знак"/>
    <w:basedOn w:val="1114"/>
    <w:link w:val="1589"/>
    <w:uiPriority w:val="99"/>
    <w:semiHidden/>
    <w:rPr>
      <w:sz w:val="20"/>
      <w:szCs w:val="20"/>
    </w:rPr>
  </w:style>
  <w:style w:type="character" w:styleId="1591">
    <w:name w:val="endnote reference"/>
    <w:basedOn w:val="1114"/>
    <w:uiPriority w:val="99"/>
    <w:semiHidden/>
    <w:unhideWhenUsed/>
    <w:rPr>
      <w:vertAlign w:val="superscript"/>
    </w:rPr>
  </w:style>
  <w:style w:type="paragraph" w:styleId="1592" w:customStyle="1">
    <w:name w:val="Стиль1.1"/>
    <w:basedOn w:val="1409"/>
    <w:qFormat/>
    <w:pPr>
      <w:numPr>
        <w:ilvl w:val="0"/>
        <w:numId w:val="0"/>
      </w:numPr>
      <w:ind w:left="1000" w:hanging="432"/>
      <w:spacing w:before="60"/>
      <w:tabs>
        <w:tab w:val="left" w:pos="851" w:leader="none"/>
        <w:tab w:val="clear" w:pos="1276" w:leader="none"/>
      </w:tabs>
      <w:outlineLvl w:val="9"/>
    </w:pPr>
    <w:rPr>
      <w:b w:val="0"/>
      <w:bCs w:val="0"/>
      <w:color w:val="auto"/>
      <w:lang w:val="ru-RU"/>
    </w:rPr>
  </w:style>
  <w:style w:type="paragraph" w:styleId="1593" w:customStyle="1">
    <w:name w:val="Стиль 1.1.1"/>
    <w:basedOn w:val="1592"/>
    <w:qFormat/>
    <w:pPr>
      <w:ind w:left="851" w:hanging="171"/>
      <w:tabs>
        <w:tab w:val="num" w:pos="360" w:leader="none"/>
        <w:tab w:val="num" w:pos="737" w:leader="none"/>
        <w:tab w:val="clear" w:pos="851" w:leader="none"/>
        <w:tab w:val="left" w:pos="1134" w:leader="none"/>
        <w:tab w:val="num" w:pos="1400" w:leader="none"/>
      </w:tabs>
    </w:pPr>
  </w:style>
  <w:style w:type="paragraph" w:styleId="1594" w:customStyle="1">
    <w:name w:val="txt"/>
    <w:basedOn w:val="1104"/>
    <w:pPr>
      <w:spacing w:before="100" w:beforeAutospacing="1" w:after="100" w:afterAutospacing="1" w:line="240" w:lineRule="auto"/>
    </w:pPr>
    <w:rPr>
      <w:rFonts w:ascii="Arial" w:hAnsi="Arial" w:eastAsia="Arial Unicode MS" w:cs="Arial"/>
      <w:color w:val="000000"/>
      <w:sz w:val="14"/>
      <w:szCs w:val="14"/>
      <w:lang w:eastAsia="ru-RU"/>
    </w:rPr>
  </w:style>
  <w:style w:type="numbering" w:styleId="1595" w:customStyle="1">
    <w:name w:val="Нет списка1"/>
    <w:next w:val="1116"/>
    <w:uiPriority w:val="99"/>
    <w:semiHidden/>
    <w:unhideWhenUsed/>
  </w:style>
  <w:style w:type="table" w:styleId="1596" w:customStyle="1">
    <w:name w:val="Сетка таблицы1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97" w:customStyle="1">
    <w:name w:val="Стиль3"/>
    <w:basedOn w:val="1104"/>
    <w:link w:val="1598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598" w:customStyle="1">
    <w:name w:val="Стиль3 Знак"/>
    <w:link w:val="1597"/>
    <w:rPr>
      <w:rFonts w:ascii="Arial" w:hAnsi="Arial" w:eastAsia="Times New Roman" w:cs="Times New Roman"/>
    </w:rPr>
  </w:style>
  <w:style w:type="character" w:styleId="1599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numbering" w:styleId="1600" w:customStyle="1">
    <w:name w:val="Нет списка2"/>
    <w:next w:val="1116"/>
    <w:uiPriority w:val="99"/>
    <w:semiHidden/>
    <w:unhideWhenUsed/>
  </w:style>
  <w:style w:type="numbering" w:styleId="1601" w:customStyle="1">
    <w:name w:val="Нет списка11"/>
    <w:next w:val="1116"/>
    <w:uiPriority w:val="99"/>
    <w:semiHidden/>
    <w:unhideWhenUsed/>
  </w:style>
  <w:style w:type="table" w:styleId="1602" w:customStyle="1">
    <w:name w:val="Сетка таблицы2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03" w:customStyle="1">
    <w:name w:val="Нет списка21"/>
    <w:next w:val="1116"/>
    <w:uiPriority w:val="99"/>
    <w:semiHidden/>
    <w:unhideWhenUsed/>
  </w:style>
  <w:style w:type="table" w:styleId="1604" w:customStyle="1">
    <w:name w:val="Сетка таблицы11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05" w:customStyle="1">
    <w:name w:val="Нет списка3"/>
    <w:next w:val="1116"/>
    <w:uiPriority w:val="99"/>
    <w:semiHidden/>
    <w:unhideWhenUsed/>
  </w:style>
  <w:style w:type="paragraph" w:styleId="1606" w:customStyle="1">
    <w:name w:val="м1"/>
    <w:basedOn w:val="1270"/>
    <w:link w:val="1607"/>
    <w:qFormat/>
    <w:pPr>
      <w:ind w:left="0"/>
      <w:jc w:val="both"/>
      <w:spacing w:before="120" w:after="200"/>
      <w:widowControl/>
    </w:pPr>
    <w:rPr>
      <w:rFonts w:ascii="Times New Roman" w:hAnsi="Times New Roman" w:cs="Times New Roman"/>
      <w:sz w:val="24"/>
      <w:szCs w:val="24"/>
      <w:lang w:eastAsia="en-US" w:bidi="en-US"/>
    </w:rPr>
  </w:style>
  <w:style w:type="character" w:styleId="1607" w:customStyle="1">
    <w:name w:val="м1 Знак"/>
    <w:link w:val="1606"/>
    <w:rPr>
      <w:rFonts w:ascii="Times New Roman" w:hAnsi="Times New Roman" w:eastAsia="Times New Roman" w:cs="Times New Roman"/>
      <w:sz w:val="24"/>
      <w:szCs w:val="24"/>
      <w:lang w:bidi="en-US"/>
    </w:rPr>
  </w:style>
  <w:style w:type="numbering" w:styleId="1608" w:customStyle="1">
    <w:name w:val="Нет списка4"/>
    <w:next w:val="1116"/>
    <w:uiPriority w:val="99"/>
    <w:semiHidden/>
    <w:unhideWhenUsed/>
  </w:style>
  <w:style w:type="paragraph" w:styleId="1609" w:customStyle="1">
    <w:name w:val="Заголовок 11"/>
    <w:basedOn w:val="1104"/>
    <w:next w:val="1104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1610" w:customStyle="1">
    <w:name w:val="Заголовок 31"/>
    <w:basedOn w:val="1104"/>
    <w:next w:val="1104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1611" w:customStyle="1">
    <w:name w:val="МРСК_заголовок_1"/>
    <w:basedOn w:val="1105"/>
    <w:next w:val="1316"/>
    <w:pPr>
      <w:numPr>
        <w:ilvl w:val="0"/>
        <w:numId w:val="53"/>
      </w:numPr>
      <w:ind w:left="720" w:hanging="360"/>
      <w:jc w:val="both"/>
      <w:keepNext/>
      <w:spacing w:before="240" w:after="60" w:line="300" w:lineRule="auto"/>
      <w:shd w:val="clear" w:color="auto" w:fill="d9d9d9"/>
      <w:tabs>
        <w:tab w:val="clear" w:pos="0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Arial"/>
      <w:b/>
      <w:bCs/>
      <w:caps/>
      <w:color w:val="auto"/>
      <w:sz w:val="28"/>
      <w:szCs w:val="28"/>
      <w:lang w:val="ru-RU"/>
    </w:rPr>
  </w:style>
  <w:style w:type="paragraph" w:styleId="1612" w:customStyle="1">
    <w:name w:val="МРСК_заголовок_2"/>
    <w:basedOn w:val="1104"/>
    <w:pPr>
      <w:numPr>
        <w:ilvl w:val="1"/>
        <w:numId w:val="53"/>
      </w:numPr>
      <w:contextualSpacing/>
      <w:ind w:firstLine="709"/>
      <w:keepLines/>
      <w:keepNext/>
      <w:spacing w:before="240" w:after="60" w:line="240" w:lineRule="auto"/>
      <w:widowControl w:val="off"/>
      <w:tabs>
        <w:tab w:val="clear" w:pos="0" w:leader="none"/>
        <w:tab w:val="num" w:pos="360" w:leader="none"/>
      </w:tabs>
      <w:suppressLineNumbers/>
    </w:pPr>
    <w:rPr>
      <w:rFonts w:ascii="Times New Roman" w:hAnsi="Times New Roman" w:eastAsia="Times New Roman" w:cs="Times New Roman"/>
      <w:b/>
      <w:caps/>
      <w:sz w:val="26"/>
      <w:szCs w:val="24"/>
      <w:lang w:eastAsia="ru-RU"/>
    </w:rPr>
  </w:style>
  <w:style w:type="paragraph" w:styleId="1613" w:customStyle="1">
    <w:name w:val="МРСК_заголовок_малый"/>
    <w:basedOn w:val="1104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1614" w:customStyle="1">
    <w:name w:val="МРСК_заголовок_3"/>
    <w:basedOn w:val="1107"/>
    <w:qFormat/>
    <w:pPr>
      <w:numPr>
        <w:ilvl w:val="2"/>
        <w:numId w:val="53"/>
      </w:numPr>
      <w:ind w:left="0" w:firstLine="0"/>
      <w:jc w:val="both"/>
      <w:spacing w:before="240" w:after="0" w:line="300" w:lineRule="auto"/>
      <w:tabs>
        <w:tab w:val="clear" w:pos="1224" w:leader="none"/>
      </w:tabs>
    </w:pPr>
    <w:rPr>
      <w:rFonts w:eastAsia="Times New Roman"/>
      <w:caps/>
      <w:sz w:val="24"/>
      <w:szCs w:val="26"/>
      <w:lang w:eastAsia="ru-RU"/>
    </w:rPr>
  </w:style>
  <w:style w:type="paragraph" w:styleId="1615" w:customStyle="1">
    <w:name w:val="МРСК_шрифт_абзаца"/>
    <w:basedOn w:val="1104"/>
    <w:link w:val="1616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616" w:customStyle="1">
    <w:name w:val="МРСК_шрифт_абзаца Знак"/>
    <w:link w:val="1615"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617" w:customStyle="1">
    <w:name w:val="Нет списка5"/>
    <w:next w:val="1116"/>
    <w:uiPriority w:val="99"/>
    <w:semiHidden/>
    <w:unhideWhenUsed/>
  </w:style>
  <w:style w:type="table" w:styleId="1618" w:customStyle="1">
    <w:name w:val="Сетка таблицы3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19" w:customStyle="1">
    <w:name w:val="Нет списка6"/>
    <w:next w:val="1116"/>
    <w:uiPriority w:val="99"/>
    <w:semiHidden/>
    <w:unhideWhenUsed/>
  </w:style>
  <w:style w:type="table" w:styleId="1620" w:customStyle="1">
    <w:name w:val="Сетка таблицы4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21" w:customStyle="1">
    <w:name w:val="Сетка таблицы5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22" w:customStyle="1">
    <w:name w:val="Сетка таблицы6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23" w:customStyle="1">
    <w:name w:val="Нет списка7"/>
    <w:next w:val="1116"/>
    <w:uiPriority w:val="99"/>
    <w:semiHidden/>
    <w:unhideWhenUsed/>
  </w:style>
  <w:style w:type="numbering" w:styleId="1624" w:customStyle="1">
    <w:name w:val="Нет списка111"/>
    <w:next w:val="1116"/>
    <w:uiPriority w:val="99"/>
    <w:semiHidden/>
    <w:unhideWhenUsed/>
  </w:style>
  <w:style w:type="table" w:styleId="1625" w:customStyle="1">
    <w:name w:val="Сетка таблицы7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26" w:customStyle="1">
    <w:name w:val="Нет списка211"/>
    <w:next w:val="1116"/>
    <w:uiPriority w:val="99"/>
    <w:semiHidden/>
    <w:unhideWhenUsed/>
  </w:style>
  <w:style w:type="numbering" w:styleId="1627" w:customStyle="1">
    <w:name w:val="Нет списка31"/>
    <w:next w:val="1116"/>
    <w:uiPriority w:val="99"/>
    <w:semiHidden/>
    <w:unhideWhenUsed/>
  </w:style>
  <w:style w:type="numbering" w:styleId="1628" w:customStyle="1">
    <w:name w:val="Нет списка41"/>
    <w:next w:val="1116"/>
    <w:uiPriority w:val="99"/>
    <w:semiHidden/>
    <w:unhideWhenUsed/>
  </w:style>
  <w:style w:type="table" w:styleId="1629" w:customStyle="1">
    <w:name w:val="Сетка таблицы21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0" w:customStyle="1">
    <w:name w:val="Нет списка51"/>
    <w:next w:val="1116"/>
    <w:uiPriority w:val="99"/>
    <w:semiHidden/>
    <w:unhideWhenUsed/>
  </w:style>
  <w:style w:type="table" w:styleId="1631" w:customStyle="1">
    <w:name w:val="Сетка таблицы31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2" w:customStyle="1">
    <w:name w:val="Нет списка61"/>
    <w:next w:val="1116"/>
    <w:uiPriority w:val="99"/>
    <w:semiHidden/>
    <w:unhideWhenUsed/>
  </w:style>
  <w:style w:type="table" w:styleId="1633" w:customStyle="1">
    <w:name w:val="Сетка таблицы41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34" w:customStyle="1">
    <w:name w:val="Сетка таблицы51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35" w:customStyle="1">
    <w:name w:val="Сетка таблицы61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6" w:customStyle="1">
    <w:name w:val="Нет списка8"/>
    <w:next w:val="1116"/>
    <w:uiPriority w:val="99"/>
    <w:semiHidden/>
    <w:unhideWhenUsed/>
  </w:style>
  <w:style w:type="numbering" w:styleId="1637" w:customStyle="1">
    <w:name w:val="Нет списка12"/>
    <w:next w:val="1116"/>
    <w:uiPriority w:val="99"/>
    <w:semiHidden/>
    <w:unhideWhenUsed/>
  </w:style>
  <w:style w:type="table" w:styleId="1638" w:customStyle="1">
    <w:name w:val="Сетка таблицы8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9" w:customStyle="1">
    <w:name w:val="Нет списка22"/>
    <w:next w:val="1116"/>
    <w:uiPriority w:val="99"/>
    <w:semiHidden/>
    <w:unhideWhenUsed/>
  </w:style>
  <w:style w:type="table" w:styleId="1640" w:customStyle="1">
    <w:name w:val="Сетка таблицы12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1" w:customStyle="1">
    <w:name w:val="Нет списка32"/>
    <w:next w:val="1116"/>
    <w:uiPriority w:val="99"/>
    <w:semiHidden/>
    <w:unhideWhenUsed/>
  </w:style>
  <w:style w:type="numbering" w:styleId="1642" w:customStyle="1">
    <w:name w:val="Нет списка42"/>
    <w:next w:val="1116"/>
    <w:uiPriority w:val="99"/>
    <w:semiHidden/>
    <w:unhideWhenUsed/>
  </w:style>
  <w:style w:type="table" w:styleId="1643" w:customStyle="1">
    <w:name w:val="Сетка таблицы22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4" w:customStyle="1">
    <w:name w:val="Нет списка52"/>
    <w:next w:val="1116"/>
    <w:uiPriority w:val="99"/>
    <w:semiHidden/>
    <w:unhideWhenUsed/>
  </w:style>
  <w:style w:type="table" w:styleId="1645" w:customStyle="1">
    <w:name w:val="Сетка таблицы32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6" w:customStyle="1">
    <w:name w:val="Нет списка62"/>
    <w:next w:val="1116"/>
    <w:uiPriority w:val="99"/>
    <w:semiHidden/>
    <w:unhideWhenUsed/>
  </w:style>
  <w:style w:type="table" w:styleId="1647" w:customStyle="1">
    <w:name w:val="Сетка таблицы42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48" w:customStyle="1">
    <w:name w:val="Сетка таблицы52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49" w:customStyle="1">
    <w:name w:val="Сетка таблицы62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0" w:customStyle="1">
    <w:name w:val="Нет списка9"/>
    <w:next w:val="1116"/>
    <w:uiPriority w:val="99"/>
    <w:semiHidden/>
    <w:unhideWhenUsed/>
  </w:style>
  <w:style w:type="numbering" w:styleId="1651" w:customStyle="1">
    <w:name w:val="Нет списка13"/>
    <w:next w:val="1116"/>
    <w:uiPriority w:val="99"/>
    <w:semiHidden/>
    <w:unhideWhenUsed/>
  </w:style>
  <w:style w:type="table" w:styleId="1652" w:customStyle="1">
    <w:name w:val="Сетка таблицы9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3" w:customStyle="1">
    <w:name w:val="Нет списка23"/>
    <w:next w:val="1116"/>
    <w:uiPriority w:val="99"/>
    <w:semiHidden/>
    <w:unhideWhenUsed/>
  </w:style>
  <w:style w:type="table" w:styleId="1654" w:customStyle="1">
    <w:name w:val="Сетка таблицы13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5" w:customStyle="1">
    <w:name w:val="Нет списка33"/>
    <w:next w:val="1116"/>
    <w:uiPriority w:val="99"/>
    <w:semiHidden/>
    <w:unhideWhenUsed/>
  </w:style>
  <w:style w:type="numbering" w:styleId="1656" w:customStyle="1">
    <w:name w:val="Нет списка43"/>
    <w:next w:val="1116"/>
    <w:uiPriority w:val="99"/>
    <w:semiHidden/>
    <w:unhideWhenUsed/>
  </w:style>
  <w:style w:type="table" w:styleId="1657" w:customStyle="1">
    <w:name w:val="Сетка таблицы23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8" w:customStyle="1">
    <w:name w:val="Нет списка53"/>
    <w:next w:val="1116"/>
    <w:uiPriority w:val="99"/>
    <w:semiHidden/>
    <w:unhideWhenUsed/>
  </w:style>
  <w:style w:type="table" w:styleId="1659" w:customStyle="1">
    <w:name w:val="Сетка таблицы33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0" w:customStyle="1">
    <w:name w:val="Нет списка63"/>
    <w:next w:val="1116"/>
    <w:uiPriority w:val="99"/>
    <w:semiHidden/>
    <w:unhideWhenUsed/>
  </w:style>
  <w:style w:type="table" w:styleId="1661" w:customStyle="1">
    <w:name w:val="Сетка таблицы43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62" w:customStyle="1">
    <w:name w:val="Сетка таблицы53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63" w:customStyle="1">
    <w:name w:val="Сетка таблицы63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4" w:customStyle="1">
    <w:name w:val="Нет списка10"/>
    <w:next w:val="1116"/>
    <w:uiPriority w:val="99"/>
    <w:semiHidden/>
    <w:unhideWhenUsed/>
  </w:style>
  <w:style w:type="numbering" w:styleId="1665" w:customStyle="1">
    <w:name w:val="Нет списка14"/>
    <w:next w:val="1116"/>
    <w:uiPriority w:val="99"/>
    <w:semiHidden/>
    <w:unhideWhenUsed/>
  </w:style>
  <w:style w:type="table" w:styleId="1666" w:customStyle="1">
    <w:name w:val="Сетка таблицы10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7" w:customStyle="1">
    <w:name w:val="Нет списка24"/>
    <w:next w:val="1116"/>
    <w:uiPriority w:val="99"/>
    <w:semiHidden/>
    <w:unhideWhenUsed/>
  </w:style>
  <w:style w:type="table" w:styleId="1668" w:customStyle="1">
    <w:name w:val="Сетка таблицы14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9" w:customStyle="1">
    <w:name w:val="Нет списка34"/>
    <w:next w:val="1116"/>
    <w:uiPriority w:val="99"/>
    <w:semiHidden/>
    <w:unhideWhenUsed/>
  </w:style>
  <w:style w:type="numbering" w:styleId="1670" w:customStyle="1">
    <w:name w:val="Нет списка44"/>
    <w:next w:val="1116"/>
    <w:uiPriority w:val="99"/>
    <w:semiHidden/>
    <w:unhideWhenUsed/>
  </w:style>
  <w:style w:type="table" w:styleId="1671" w:customStyle="1">
    <w:name w:val="Сетка таблицы24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2" w:customStyle="1">
    <w:name w:val="Нет списка54"/>
    <w:next w:val="1116"/>
    <w:uiPriority w:val="99"/>
    <w:semiHidden/>
    <w:unhideWhenUsed/>
  </w:style>
  <w:style w:type="table" w:styleId="1673" w:customStyle="1">
    <w:name w:val="Сетка таблицы34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4" w:customStyle="1">
    <w:name w:val="Нет списка64"/>
    <w:next w:val="1116"/>
    <w:uiPriority w:val="99"/>
    <w:semiHidden/>
    <w:unhideWhenUsed/>
  </w:style>
  <w:style w:type="table" w:styleId="1675" w:customStyle="1">
    <w:name w:val="Сетка таблицы44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76" w:customStyle="1">
    <w:name w:val="Сетка таблицы54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77" w:customStyle="1">
    <w:name w:val="Сетка таблицы64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8" w:customStyle="1">
    <w:name w:val="Нет списка15"/>
    <w:next w:val="1116"/>
    <w:uiPriority w:val="99"/>
    <w:semiHidden/>
    <w:unhideWhenUsed/>
  </w:style>
  <w:style w:type="numbering" w:styleId="1679" w:customStyle="1">
    <w:name w:val="Нет списка16"/>
    <w:next w:val="1116"/>
    <w:uiPriority w:val="99"/>
    <w:semiHidden/>
    <w:unhideWhenUsed/>
  </w:style>
  <w:style w:type="table" w:styleId="1680" w:customStyle="1">
    <w:name w:val="Сетка таблицы15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1" w:customStyle="1">
    <w:name w:val="Нет списка25"/>
    <w:next w:val="1116"/>
    <w:uiPriority w:val="99"/>
    <w:semiHidden/>
    <w:unhideWhenUsed/>
  </w:style>
  <w:style w:type="table" w:styleId="1682" w:customStyle="1">
    <w:name w:val="Сетка таблицы16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3" w:customStyle="1">
    <w:name w:val="Нет списка35"/>
    <w:next w:val="1116"/>
    <w:uiPriority w:val="99"/>
    <w:semiHidden/>
    <w:unhideWhenUsed/>
  </w:style>
  <w:style w:type="numbering" w:styleId="1684" w:customStyle="1">
    <w:name w:val="Нет списка45"/>
    <w:next w:val="1116"/>
    <w:uiPriority w:val="99"/>
    <w:semiHidden/>
    <w:unhideWhenUsed/>
  </w:style>
  <w:style w:type="table" w:styleId="1685" w:customStyle="1">
    <w:name w:val="Сетка таблицы25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6" w:customStyle="1">
    <w:name w:val="Нет списка55"/>
    <w:next w:val="1116"/>
    <w:uiPriority w:val="99"/>
    <w:semiHidden/>
    <w:unhideWhenUsed/>
  </w:style>
  <w:style w:type="table" w:styleId="1687" w:customStyle="1">
    <w:name w:val="Сетка таблицы35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8" w:customStyle="1">
    <w:name w:val="Нет списка65"/>
    <w:next w:val="1116"/>
    <w:uiPriority w:val="99"/>
    <w:semiHidden/>
    <w:unhideWhenUsed/>
  </w:style>
  <w:style w:type="table" w:styleId="1689" w:customStyle="1">
    <w:name w:val="Сетка таблицы45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90" w:customStyle="1">
    <w:name w:val="Сетка таблицы55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91" w:customStyle="1">
    <w:name w:val="Сетка таблицы65"/>
    <w:basedOn w:val="1115"/>
    <w:next w:val="1364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2" w:customStyle="1">
    <w:name w:val="Нет списка17"/>
    <w:next w:val="1116"/>
    <w:uiPriority w:val="99"/>
    <w:semiHidden/>
    <w:unhideWhenUsed/>
  </w:style>
  <w:style w:type="numbering" w:styleId="1693" w:customStyle="1">
    <w:name w:val="Нет списка18"/>
    <w:next w:val="1116"/>
    <w:uiPriority w:val="99"/>
    <w:semiHidden/>
    <w:unhideWhenUsed/>
  </w:style>
  <w:style w:type="table" w:styleId="1694" w:customStyle="1">
    <w:name w:val="Сетка таблицы17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95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numbering" w:styleId="1696" w:customStyle="1">
    <w:name w:val="Нет списка19"/>
    <w:next w:val="1116"/>
    <w:uiPriority w:val="99"/>
    <w:semiHidden/>
    <w:unhideWhenUsed/>
  </w:style>
  <w:style w:type="numbering" w:styleId="1697" w:customStyle="1">
    <w:name w:val="Нет списка110"/>
    <w:next w:val="1116"/>
    <w:uiPriority w:val="99"/>
    <w:semiHidden/>
    <w:unhideWhenUsed/>
  </w:style>
  <w:style w:type="table" w:styleId="1698" w:customStyle="1">
    <w:name w:val="Сетка таблицы18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9" w:customStyle="1">
    <w:name w:val="Нет списка20"/>
    <w:next w:val="1116"/>
    <w:uiPriority w:val="99"/>
    <w:semiHidden/>
    <w:unhideWhenUsed/>
  </w:style>
  <w:style w:type="numbering" w:styleId="1700" w:customStyle="1">
    <w:name w:val="Нет списка1111"/>
    <w:next w:val="1116"/>
    <w:uiPriority w:val="99"/>
    <w:semiHidden/>
    <w:unhideWhenUsed/>
  </w:style>
  <w:style w:type="table" w:styleId="1701" w:customStyle="1">
    <w:name w:val="Сетка таблицы19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02" w:customStyle="1">
    <w:name w:val="Нет списка26"/>
    <w:next w:val="1116"/>
    <w:uiPriority w:val="99"/>
    <w:semiHidden/>
    <w:unhideWhenUsed/>
  </w:style>
  <w:style w:type="numbering" w:styleId="1703" w:customStyle="1">
    <w:name w:val="Нет списка112"/>
    <w:next w:val="1116"/>
    <w:uiPriority w:val="99"/>
    <w:semiHidden/>
    <w:unhideWhenUsed/>
  </w:style>
  <w:style w:type="table" w:styleId="1704" w:customStyle="1">
    <w:name w:val="Сетка таблицы20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05" w:customStyle="1">
    <w:name w:val="Нет списка27"/>
    <w:next w:val="1116"/>
    <w:uiPriority w:val="99"/>
    <w:semiHidden/>
    <w:unhideWhenUsed/>
  </w:style>
  <w:style w:type="numbering" w:styleId="1706" w:customStyle="1">
    <w:name w:val="Нет списка113"/>
    <w:next w:val="1116"/>
    <w:uiPriority w:val="99"/>
    <w:semiHidden/>
    <w:unhideWhenUsed/>
  </w:style>
  <w:style w:type="table" w:styleId="1707" w:customStyle="1">
    <w:name w:val="Сетка таблицы26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08" w:customStyle="1">
    <w:name w:val="Нет списка28"/>
    <w:next w:val="1116"/>
    <w:uiPriority w:val="99"/>
    <w:semiHidden/>
    <w:unhideWhenUsed/>
  </w:style>
  <w:style w:type="numbering" w:styleId="1709" w:customStyle="1">
    <w:name w:val="Нет списка114"/>
    <w:next w:val="1116"/>
    <w:uiPriority w:val="99"/>
    <w:semiHidden/>
    <w:unhideWhenUsed/>
  </w:style>
  <w:style w:type="table" w:styleId="1710" w:customStyle="1">
    <w:name w:val="Сетка таблицы27"/>
    <w:basedOn w:val="1115"/>
    <w:next w:val="136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11" w:customStyle="1">
    <w:name w:val="Нет"/>
  </w:style>
  <w:style w:type="character" w:styleId="1712" w:customStyle="1">
    <w:name w:val="Hyperlink.0"/>
    <w:basedOn w:val="171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hyperlink" Target="https://www.rosseti.ru/suppliers/technical-policy/equipment-quality-control/)." TargetMode="External"/><Relationship Id="rId15" Type="http://schemas.openxmlformats.org/officeDocument/2006/relationships/hyperlink" Target="https://www.rosseti.ru/suppliers/technical-policy/equipment-quality-control/).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cfd@rosseti.ru" TargetMode="External"/><Relationship Id="rId19" Type="http://schemas.openxmlformats.org/officeDocument/2006/relationships/hyperlink" Target="http://www.tuvaenergo.ru/buy/corruption.php" TargetMode="External"/><Relationship Id="rId20" Type="http://schemas.openxmlformats.org/officeDocument/2006/relationships/hyperlink" Target="mailto:tuvaenergo@tv.rosseti-sib.ru" TargetMode="External"/><Relationship Id="rId21" Type="http://schemas.openxmlformats.org/officeDocument/2006/relationships/hyperlink" Target="mailto:BaturinNV@tuva.mrsk-sib.ru" TargetMode="External"/><Relationship Id="rId22" Type="http://schemas.openxmlformats.org/officeDocument/2006/relationships/hyperlink" Target="mailto:KularAY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DEE88-5445-4E65-BEA7-5749205D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Илья Владимирович</dc:creator>
  <cp:revision>61</cp:revision>
  <dcterms:created xsi:type="dcterms:W3CDTF">2023-10-30T11:26:00Z</dcterms:created>
  <dcterms:modified xsi:type="dcterms:W3CDTF">2025-05-28T01:25:49Z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ServerURL">
    <vt:lpwstr>http://asud2.rosseti.ru/asud_hmrsk/doc-upload</vt:lpwstr>
  </property>
  <property fmtid="{D5CDD505-2E9C-101B-9397-08002B2CF9AE}" pid="4" name="CustomUserId">
    <vt:lpwstr>BalyukNN</vt:lpwstr>
  </property>
  <property fmtid="{D5CDD505-2E9C-101B-9397-08002B2CF9AE}" pid="5" name="CustomObjectState">
    <vt:lpwstr>180939569</vt:lpwstr>
  </property>
  <property fmtid="{D5CDD505-2E9C-101B-9397-08002B2CF9AE}" pid="6" name="localFileProperties">
    <vt:lpwstr/>
  </property>
</Properties>
</file>